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p>
    <w:p>
      <w:pPr>
        <w:spacing w:after="240"/>
      </w:pPr>
    </w:p>
    <w:p>
      <w:pPr>
        <w:spacing w:after="240"/>
      </w:pPr>
    </w:p>
    <w:p>
      <w:pPr>
        <w:spacing w:after="240"/>
      </w:pPr>
    </w:p>
    <w:p>
      <w:pPr>
        <w:spacing w:after="240"/>
      </w:pPr>
    </w:p>
    <w:p>
      <w:pPr>
        <w:spacing w:after="360"/>
        <w:jc w:val="center"/>
      </w:pPr>
      <w:r>
        <w:rPr>
          <w:rFonts w:ascii="Calibri" w:hAnsi="Calibri"/>
          <w:b/>
          <w:color w:val="7A5A00"/>
          <w:sz w:val="21"/>
        </w:rPr>
        <w:t>DOCUMENTO DE IDENTIDAD INSTITUCIONAL</w:t>
      </w:r>
    </w:p>
    <w:p>
      <w:pPr>
        <w:spacing w:after="200"/>
        <w:jc w:val="center"/>
      </w:pPr>
      <w:r>
        <w:rPr>
          <w:rFonts w:ascii="Calibri" w:hAnsi="Calibri"/>
          <w:b/>
          <w:color w:val="203748"/>
          <w:sz w:val="58"/>
        </w:rPr>
        <w:t>Síntesis canónica del PEE</w:t>
      </w:r>
    </w:p>
    <w:p>
      <w:pPr>
        <w:spacing w:after="800"/>
        <w:jc w:val="center"/>
      </w:pPr>
      <w:r>
        <w:rPr>
          <w:rFonts w:ascii="Calibri" w:hAnsi="Calibri"/>
          <w:color w:val="2B5163"/>
          <w:sz w:val="28"/>
        </w:rPr>
        <w:t>Filosofía, terminología y programa de investigación</w:t>
      </w:r>
    </w:p>
    <w:p>
      <w:pPr>
        <w:jc w:val="center"/>
      </w:pPr>
      <w:r>
        <w:t>Mateo López Cuenca · revisión editorial 5.2.7 · julio de 2026</w:t>
      </w:r>
    </w:p>
    <w:p>
      <w:r>
        <w:br w:type="page"/>
      </w:r>
    </w:p>
    <w:p>
      <w:pPr>
        <w:spacing w:after="280"/>
        <w:jc w:val="left"/>
      </w:pPr>
      <w:r>
        <w:t>El PEE se formula como un programa de investigación con componentes económicos, jurídicos, institucionales y normativos: principio rector, posiciones ciudadanas, aprendizaje institucional, salvaguardas democráticas y líneas modulares de contraste.</w:t>
      </w:r>
    </w:p>
    <w:p>
      <w:pPr>
        <w:pStyle w:val="Heading1"/>
      </w:pPr>
      <w:r>
        <w:t>1. Identidad terminológica</w:t>
      </w:r>
    </w:p>
    <w:tbl>
      <w:tblPr>
        <w:tblStyle w:val="TableGrid"/>
        <w:tblW w:type="dxa" w:w="9360"/>
        <w:tblLayout w:type="fixed"/>
        <w:tblLook w:firstColumn="1" w:firstRow="1" w:lastColumn="0" w:lastRow="0" w:noHBand="0" w:noVBand="1" w:val="04A0"/>
        <w:jc w:val="left"/>
        <w:tblInd w:w="120" w:type="dxa"/>
      </w:tblPr>
      <w:tblGrid>
        <w:gridCol w:w="2700"/>
        <w:gridCol w:w="6660"/>
      </w:tblGrid>
      <w:tr>
        <w:trPr>
          <w:tblHeader w:val="true"/>
        </w:trPr>
        <w:tc>
          <w:tcPr>
            <w:tcW w:type="dxa" w:w="2700"/>
            <w:tcMar>
              <w:top w:w="80" w:type="dxa"/>
              <w:start w:w="120" w:type="dxa"/>
              <w:bottom w:w="80" w:type="dxa"/>
              <w:end w:w="120" w:type="dxa"/>
            </w:tcMar>
            <w:vAlign w:val="center"/>
            <w:shd w:fill="E8EEF5"/>
          </w:tcPr>
          <w:p>
            <w:r>
              <w:rPr>
                <w:rFonts w:ascii="Calibri" w:hAnsi="Calibri"/>
                <w:b/>
                <w:color w:val="1F3A5F"/>
                <w:sz w:val="21"/>
              </w:rPr>
              <w:t>Concepto</w:t>
            </w:r>
          </w:p>
        </w:tc>
        <w:tc>
          <w:tcPr>
            <w:tcW w:type="dxa" w:w="6660"/>
            <w:tcMar>
              <w:top w:w="80" w:type="dxa"/>
              <w:start w:w="120" w:type="dxa"/>
              <w:bottom w:w="80" w:type="dxa"/>
              <w:end w:w="120" w:type="dxa"/>
            </w:tcMar>
            <w:vAlign w:val="center"/>
            <w:shd w:fill="E8EEF5"/>
          </w:tcPr>
          <w:p>
            <w:r>
              <w:rPr>
                <w:rFonts w:ascii="Calibri" w:hAnsi="Calibri"/>
                <w:b/>
                <w:color w:val="1F3A5F"/>
                <w:sz w:val="21"/>
              </w:rPr>
              <w:t>Denominación canónica</w:t>
            </w:r>
          </w:p>
        </w:tc>
      </w:tr>
      <w:tr>
        <w:tc>
          <w:tcPr>
            <w:tcW w:type="dxa" w:w="2700"/>
            <w:tcMar>
              <w:top w:w="80" w:type="dxa"/>
              <w:start w:w="120" w:type="dxa"/>
              <w:bottom w:w="80" w:type="dxa"/>
              <w:end w:w="120" w:type="dxa"/>
            </w:tcMar>
            <w:vAlign w:val="center"/>
          </w:tcPr>
          <w:p>
            <w:pPr>
              <w:spacing w:before="0" w:after="40" w:line="276" w:lineRule="auto"/>
            </w:pPr>
            <w:r>
              <w:rPr>
                <w:rFonts w:ascii="Calibri" w:hAnsi="Calibri"/>
                <w:sz w:val="21"/>
              </w:rPr>
              <w:t>Español</w:t>
            </w:r>
          </w:p>
        </w:tc>
        <w:tc>
          <w:tcPr>
            <w:tcW w:type="dxa" w:w="6660"/>
            <w:tcMar>
              <w:top w:w="80" w:type="dxa"/>
              <w:start w:w="120" w:type="dxa"/>
              <w:bottom w:w="80" w:type="dxa"/>
              <w:end w:w="120" w:type="dxa"/>
            </w:tcMar>
            <w:vAlign w:val="center"/>
          </w:tcPr>
          <w:p>
            <w:pPr>
              <w:spacing w:before="0" w:after="40" w:line="276" w:lineRule="auto"/>
            </w:pPr>
            <w:r>
              <w:rPr>
                <w:rFonts w:ascii="Calibri" w:hAnsi="Calibri"/>
                <w:sz w:val="21"/>
              </w:rPr>
              <w:t>Erario Patrimonial Permanente (PEE)</w:t>
            </w:r>
          </w:p>
        </w:tc>
      </w:tr>
      <w:tr>
        <w:tc>
          <w:tcPr>
            <w:tcW w:type="dxa" w:w="2700"/>
            <w:tcMar>
              <w:top w:w="80" w:type="dxa"/>
              <w:start w:w="120" w:type="dxa"/>
              <w:bottom w:w="80" w:type="dxa"/>
              <w:end w:w="120" w:type="dxa"/>
            </w:tcMar>
            <w:vAlign w:val="center"/>
          </w:tcPr>
          <w:p>
            <w:pPr>
              <w:spacing w:before="0" w:after="40" w:line="276" w:lineRule="auto"/>
            </w:pPr>
            <w:r>
              <w:rPr>
                <w:rFonts w:ascii="Calibri" w:hAnsi="Calibri"/>
                <w:sz w:val="21"/>
              </w:rPr>
              <w:t>Nombre internacional</w:t>
            </w:r>
          </w:p>
        </w:tc>
        <w:tc>
          <w:tcPr>
            <w:tcW w:type="dxa" w:w="6660"/>
            <w:tcMar>
              <w:top w:w="80" w:type="dxa"/>
              <w:start w:w="120" w:type="dxa"/>
              <w:bottom w:w="80" w:type="dxa"/>
              <w:end w:w="120" w:type="dxa"/>
            </w:tcMar>
            <w:vAlign w:val="center"/>
          </w:tcPr>
          <w:p>
            <w:pPr>
              <w:spacing w:before="0" w:after="40" w:line="276" w:lineRule="auto"/>
            </w:pPr>
            <w:r>
              <w:rPr>
                <w:rFonts w:ascii="Calibri" w:hAnsi="Calibri"/>
                <w:sz w:val="21"/>
              </w:rPr>
              <w:t>Perpetual Equity Erarium (PEE)</w:t>
            </w:r>
          </w:p>
        </w:tc>
      </w:tr>
      <w:tr>
        <w:tc>
          <w:tcPr>
            <w:tcW w:type="dxa" w:w="2700"/>
            <w:tcMar>
              <w:top w:w="80" w:type="dxa"/>
              <w:start w:w="120" w:type="dxa"/>
              <w:bottom w:w="80" w:type="dxa"/>
              <w:end w:w="120" w:type="dxa"/>
            </w:tcMar>
            <w:vAlign w:val="center"/>
          </w:tcPr>
          <w:p>
            <w:pPr>
              <w:spacing w:before="0" w:after="40" w:line="276" w:lineRule="auto"/>
            </w:pPr>
            <w:r>
              <w:rPr>
                <w:rFonts w:ascii="Calibri" w:hAnsi="Calibri"/>
                <w:sz w:val="21"/>
              </w:rPr>
              <w:t>Unidad ciudadana</w:t>
            </w:r>
          </w:p>
        </w:tc>
        <w:tc>
          <w:tcPr>
            <w:tcW w:type="dxa" w:w="6660"/>
            <w:tcMar>
              <w:top w:w="80" w:type="dxa"/>
              <w:start w:w="120" w:type="dxa"/>
              <w:bottom w:w="80" w:type="dxa"/>
              <w:end w:w="120" w:type="dxa"/>
            </w:tcMar>
            <w:vAlign w:val="center"/>
          </w:tcPr>
          <w:p>
            <w:pPr>
              <w:spacing w:before="0" w:after="40" w:line="276" w:lineRule="auto"/>
            </w:pPr>
            <w:r>
              <w:rPr>
                <w:rFonts w:ascii="Calibri" w:hAnsi="Calibri"/>
                <w:sz w:val="21"/>
              </w:rPr>
              <w:t>Unidades Ciudadanas de Acumulación (UCA)</w:t>
            </w:r>
          </w:p>
        </w:tc>
      </w:tr>
      <w:tr>
        <w:tc>
          <w:tcPr>
            <w:tcW w:type="dxa" w:w="2700"/>
            <w:tcMar>
              <w:top w:w="80" w:type="dxa"/>
              <w:start w:w="120" w:type="dxa"/>
              <w:bottom w:w="80" w:type="dxa"/>
              <w:end w:w="120" w:type="dxa"/>
            </w:tcMar>
            <w:vAlign w:val="center"/>
          </w:tcPr>
          <w:p>
            <w:pPr>
              <w:spacing w:before="0" w:after="40" w:line="276" w:lineRule="auto"/>
            </w:pPr>
            <w:r>
              <w:rPr>
                <w:rFonts w:ascii="Calibri" w:hAnsi="Calibri"/>
                <w:sz w:val="21"/>
              </w:rPr>
              <w:t>Inglés</w:t>
            </w:r>
          </w:p>
        </w:tc>
        <w:tc>
          <w:tcPr>
            <w:tcW w:type="dxa" w:w="6660"/>
            <w:tcMar>
              <w:top w:w="80" w:type="dxa"/>
              <w:start w:w="120" w:type="dxa"/>
              <w:bottom w:w="80" w:type="dxa"/>
              <w:end w:w="120" w:type="dxa"/>
            </w:tcMar>
            <w:vAlign w:val="center"/>
          </w:tcPr>
          <w:p>
            <w:pPr>
              <w:spacing w:before="0" w:after="40" w:line="276" w:lineRule="auto"/>
            </w:pPr>
            <w:r>
              <w:rPr>
                <w:rFonts w:ascii="Calibri" w:hAnsi="Calibri"/>
                <w:sz w:val="21"/>
              </w:rPr>
              <w:t>Citizen Accumulation Units (CAUs)</w:t>
            </w:r>
          </w:p>
        </w:tc>
      </w:tr>
      <w:tr>
        <w:tc>
          <w:tcPr>
            <w:tcW w:type="dxa" w:w="2700"/>
            <w:tcMar>
              <w:top w:w="80" w:type="dxa"/>
              <w:start w:w="120" w:type="dxa"/>
              <w:bottom w:w="80" w:type="dxa"/>
              <w:end w:w="120" w:type="dxa"/>
            </w:tcMar>
            <w:vAlign w:val="center"/>
          </w:tcPr>
          <w:p>
            <w:pPr>
              <w:spacing w:before="0" w:after="40" w:line="276" w:lineRule="auto"/>
            </w:pPr>
            <w:r>
              <w:rPr>
                <w:rFonts w:ascii="Calibri" w:hAnsi="Calibri"/>
                <w:sz w:val="21"/>
              </w:rPr>
              <w:t>Principio rector</w:t>
            </w:r>
          </w:p>
        </w:tc>
        <w:tc>
          <w:tcPr>
            <w:tcW w:type="dxa" w:w="6660"/>
            <w:tcMar>
              <w:top w:w="80" w:type="dxa"/>
              <w:start w:w="120" w:type="dxa"/>
              <w:bottom w:w="80" w:type="dxa"/>
              <w:end w:w="120" w:type="dxa"/>
            </w:tcMar>
            <w:vAlign w:val="center"/>
          </w:tcPr>
          <w:p>
            <w:pPr>
              <w:spacing w:before="0" w:after="40" w:line="276" w:lineRule="auto"/>
            </w:pPr>
            <w:r>
              <w:rPr>
                <w:rFonts w:ascii="Calibri" w:hAnsi="Calibri"/>
                <w:sz w:val="21"/>
              </w:rPr>
              <w:t>Principio de no descapitalización</w:t>
            </w:r>
          </w:p>
        </w:tc>
      </w:tr>
      <w:tr>
        <w:tc>
          <w:tcPr>
            <w:tcW w:type="dxa" w:w="2700"/>
            <w:tcMar>
              <w:top w:w="80" w:type="dxa"/>
              <w:start w:w="120" w:type="dxa"/>
              <w:bottom w:w="80" w:type="dxa"/>
              <w:end w:w="120" w:type="dxa"/>
            </w:tcMar>
            <w:vAlign w:val="center"/>
          </w:tcPr>
          <w:p>
            <w:pPr>
              <w:spacing w:before="0" w:after="40" w:line="276" w:lineRule="auto"/>
            </w:pPr>
            <w:r>
              <w:rPr>
                <w:rFonts w:ascii="Calibri" w:hAnsi="Calibri"/>
                <w:sz w:val="21"/>
              </w:rPr>
              <w:t>Fórmula moral</w:t>
            </w:r>
          </w:p>
        </w:tc>
        <w:tc>
          <w:tcPr>
            <w:tcW w:type="dxa" w:w="6660"/>
            <w:tcMar>
              <w:top w:w="80" w:type="dxa"/>
              <w:start w:w="120" w:type="dxa"/>
              <w:bottom w:w="80" w:type="dxa"/>
              <w:end w:w="120" w:type="dxa"/>
            </w:tcMar>
            <w:vAlign w:val="center"/>
          </w:tcPr>
          <w:p>
            <w:pPr>
              <w:spacing w:before="0" w:after="40" w:line="276" w:lineRule="auto"/>
            </w:pPr>
            <w:r>
              <w:rPr>
                <w:rFonts w:ascii="Calibri" w:hAnsi="Calibri"/>
                <w:sz w:val="21"/>
              </w:rPr>
              <w:t>Recibir. Mejorar. Transmitir.</w:t>
            </w:r>
          </w:p>
        </w:tc>
      </w:tr>
    </w:tbl>
    <w:p/>
    <w:p>
      <w:r>
        <w:t>La denominación sitúa la institución en español y conserva PEE como sigla internacional. «Unidades Ciudadanas de Acumulación» destaca la vinculación ciudadana y la función registral de acumulación dentro de un patrimonio común.</w:t>
      </w:r>
    </w:p>
    <w:p>
      <w:pPr>
        <w:pStyle w:val="Heading1"/>
      </w:pPr>
      <w:r>
        <w:t>2. Principio de no descapitalización</w:t>
      </w:r>
    </w:p>
    <w:p>
      <w:r>
        <w:t>El principio propuesto limita la disposición del principal fuera de las distribuciones autorizadas y de los procedimientos democráticos de reforma o disolución. Cada decisión debe explicar la base recibida, la transformación realizada y la capacidad patrimonial resultante.</w:t>
      </w:r>
    </w:p>
    <w:p>
      <w:pPr>
        <w:jc w:val="center"/>
      </w:pPr>
      <w:r>
        <w:rPr>
          <w:rFonts w:ascii="Calibri" w:hAnsi="Calibri"/>
          <w:b/>
          <w:color w:val="203748"/>
          <w:sz w:val="30"/>
        </w:rPr>
        <w:t>Recibir. Mejorar. Transmitir.</w:t>
      </w:r>
    </w:p>
    <w:p>
      <w:pPr>
        <w:pStyle w:val="Heading1"/>
      </w:pPr>
      <w:r>
        <w:t>3. Complementariedad con el reparto</w:t>
      </w:r>
    </w:p>
    <w:p>
      <w:r>
        <w:t>El reparto financia obligaciones corrientes; el PEE añadiría una capa pública capitalizada de largo plazo. Son funciones complementarias que deben evaluarse conjuntamente, incluida la doble carga de la transición.</w:t>
      </w:r>
    </w:p>
    <w:p>
      <w:pPr>
        <w:pStyle w:val="Heading1"/>
      </w:pPr>
      <w:r>
        <w:t>4. UCA y ciudadanía patrimonial</w:t>
      </w:r>
    </w:p>
    <w:p>
      <w:r>
        <w:t>Las UCA representan una posición registral individual dentro de un patrimonio común e indivisible. No son acciones privadas, depósitos ni propiedad sobre activos concretos.</w:t>
      </w:r>
    </w:p>
    <w:p>
      <w:pPr>
        <w:pStyle w:val="Heading1"/>
      </w:pPr>
      <w:r>
        <w:t>5. Pacto de Custodia Intergeneracional</w:t>
      </w:r>
    </w:p>
    <w:p>
      <w:r>
        <w:t>El Pacto es una carta cívica voluntaria, pública y revocable. Expresa que la gestión debe considerar aportaciones previas, derechos presentes y efectos previsibles sobre generaciones futuras; no condiciona derechos ni sustituye la crítica, la reforma o la impugnación.</w:t>
      </w:r>
    </w:p>
    <w:p>
      <w:pPr>
        <w:pStyle w:val="Heading1"/>
      </w:pPr>
      <w:r>
        <w:t>6. PIOT y aprendizaje institucional</w:t>
      </w:r>
    </w:p>
    <w:p>
      <w:r>
        <w:t>El Principio de Integración por Objeción Técnica (PIOT) establece que una objeción rigurosa, validada de forma independiente, debe poder convertirse en corrección. El Procedimiento de Integración de Mejoras Técnicas (PIMT) es su cauce operativo: recibe la objeción, determina la vulnerabilidad o mejora, integra la solución, mide sus efectos y conserva el reconocimiento transparente de la contribución. El PIOT es el principio; el PIMT, el procedimiento.</w:t>
      </w:r>
    </w:p>
    <w:p>
      <w:pPr>
        <w:pStyle w:val="Heading1"/>
      </w:pPr>
      <w:r>
        <w:t>7. Motivación y origen de la investigación</w:t>
      </w:r>
    </w:p>
    <w:p>
      <w:r>
        <w:t>La experiencia personal explica la selección del problema, pero la justificación del modelo depende de evidencia económica, jurídica e institucional. Los agradecimientos conservan ese origen sin funcionar como prueba.</w:t>
      </w:r>
    </w:p>
    <w:p>
      <w:r>
        <w:t>Agradecimientos: «A mi padre, que sigue cabalgando en cada una de estas páginas.»</w:t>
      </w:r>
    </w:p>
    <w:p>
      <w:r>
        <w:t>Preámbulo: las decisiones presentes de consumo, ahorro e inversión condicionan la capacidad patrimonial disponible a largo plazo.</w:t>
      </w:r>
    </w:p>
    <w:p>
      <w:r>
        <w:rPr>
          <w:rFonts w:ascii="Calibri" w:hAnsi="Calibri"/>
          <w:b/>
        </w:rPr>
        <w:t xml:space="preserve">Regla metodológica: </w:t>
      </w:r>
      <w:r>
        <w:t>«Una biografía puede explicar por qué comienza una investigación; nunca debe sustituir las razones con las que habrá de defenderse.»</w:t>
      </w:r>
    </w:p>
    <w:p>
      <w:pPr>
        <w:pStyle w:val="Heading1"/>
      </w:pPr>
      <w:r>
        <w:t>8. Responsabilidad intergeneracional y asimetría temporal</w:t>
      </w:r>
    </w:p>
    <w:p>
      <w:r>
        <w:t>El marco distingue entre recursos heredados de cohortes anteriores y efectos que recaerán sobre cohortes futuras. No atribuye una voluntad homogénea a personas ausentes. La cuestión normativa es qué límites democráticos y revisables deben aplicarse al consumo presente cuando afecta a la capacidad patrimonial futura.</w:t>
      </w:r>
    </w:p>
    <w:p>
      <w:pPr>
        <w:pStyle w:val="Heading1"/>
      </w:pPr>
      <w:r>
        <w:t>9. Programa modular de investigación</w:t>
      </w:r>
    </w:p>
    <w:p>
      <w:r>
        <w:t>El PEE no exige aceptación o rechazo en bloque. Se divide en líneas que pueden producir resultados autónomos:</w:t>
      </w:r>
    </w:p>
    <w:p>
      <w:pPr>
        <w:pStyle w:val="ListBullet"/>
      </w:pPr>
      <w:r>
        <w:t>capitalización pública complementaria;</w:t>
      </w:r>
    </w:p>
    <w:p>
      <w:pPr>
        <w:pStyle w:val="ListBullet"/>
      </w:pPr>
      <w:r>
        <w:t>principio de no descapitalización;</w:t>
      </w:r>
    </w:p>
    <w:p>
      <w:pPr>
        <w:pStyle w:val="ListBullet"/>
      </w:pPr>
      <w:r>
        <w:t>naturaleza jurídica, distribución y sucesión de UCA;</w:t>
      </w:r>
    </w:p>
    <w:p>
      <w:pPr>
        <w:pStyle w:val="ListBullet"/>
      </w:pPr>
      <w:r>
        <w:t>gobernanza del patrimonio de duración indefinida;</w:t>
      </w:r>
    </w:p>
    <w:p>
      <w:pPr>
        <w:pStyle w:val="ListBullet"/>
      </w:pPr>
      <w:r>
        <w:t>representación de generaciones futuras;</w:t>
      </w:r>
    </w:p>
    <w:p>
      <w:pPr>
        <w:pStyle w:val="ListBullet"/>
      </w:pPr>
      <w:r>
        <w:t>riesgos de captura y conflictos de interés;</w:t>
      </w:r>
    </w:p>
    <w:p>
      <w:pPr>
        <w:pStyle w:val="ListBullet"/>
      </w:pPr>
      <w:r>
        <w:t>PIOT, PIMT y aprendizaje institucional;</w:t>
      </w:r>
    </w:p>
    <w:p>
      <w:pPr>
        <w:pStyle w:val="ListBullet"/>
      </w:pPr>
      <w:r>
        <w:t>percepción y comprensión ciudadanas;</w:t>
      </w:r>
    </w:p>
    <w:p>
      <w:pPr>
        <w:pStyle w:val="ListBullet"/>
      </w:pPr>
      <w:r>
        <w:t>sostenibilidad financiera, fiscal y actuarial;</w:t>
      </w:r>
    </w:p>
    <w:p>
      <w:pPr>
        <w:pStyle w:val="ListBullet"/>
      </w:pPr>
      <w:r>
        <w:t>compatibilidad europea y límites democráticos de los compromisos institucionales de largo plazo.</w:t>
      </w:r>
    </w:p>
    <w:p>
      <w:pPr>
        <w:pStyle w:val="Heading1"/>
      </w:pPr>
      <w:r>
        <w:t>10. Frontera metodológica</w:t>
      </w:r>
    </w:p>
    <w:p>
      <w:r>
        <w:t>La filosofía explica por qué merece investigarse el PEE; no demuestra que funcione. El modelo estudia acumulación patrimonial condicionada, no cierra la sostenibilidad fiscal o actuarial. La continuidad del programa debe condicionarse a resultados verificables, compatibilidad jurídica y posibilidad efectiva de corrección, suspensión o abandono.</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B7280"/>
        <w:sz w:val="18"/>
      </w:rPr>
      <w:t xml:space="preserve">PEE v5.2.7 · </w:t>
    </w:r>
    <w:r>
      <w:rPr>
        <w:rFonts w:ascii="Calibri" w:hAnsi="Calibri"/>
        <w:color w:val="6B7280"/>
        <w:sz w:val="18"/>
      </w:rPr>
      <w:t xml:space="preserve">Página </w:t>
    </w:r>
    <w:r>
      <w:rPr>
        <w:rFonts w:ascii="Calibri" w:hAnsi="Calibri"/>
        <w:color w:val="6B7280"/>
        <w:sz w:val="18"/>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color w:val="6B7280"/>
        <w:sz w:val="18"/>
      </w:rPr>
      <w:t>Erario Patrimonial Permanente · Síntesis canónica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20" w:lineRule="auto"/>
      <w:jc w:val="both"/>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Síntesis canónica del PEE</dc:title>
  <dc:subject>Terminología, principios y programa de investigación · v5.2.7</dc:subject>
  <dc:creator>Mateo López Cuenca</dc:creator>
  <cp:keywords/>
  <dc:description>Revisión editorial v5.2.7: lenguaje intergeneracional dosificado, mayor separación entre motivación, hipótesis y evidencia.</dc:description>
  <cp:lastModifiedBy/>
  <cp:revision>1</cp:revision>
  <dcterms:created xsi:type="dcterms:W3CDTF">2013-12-23T23:15:00Z</dcterms:created>
  <dcterms:modified xsi:type="dcterms:W3CDTF">2013-12-23T23:15:00Z</dcterms:modified>
  <cp:category/>
</cp:coreProperties>
</file>