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NOTA DE REVISIÓN BIBLIOGRÁFICA INTERNA Y TRAZABILIDAD</w:t>
      </w:r>
    </w:p>
    <w:p>
      <w:pPr>
        <w:jc w:val="center"/>
      </w:pPr>
      <w:r>
        <w:t>Memoria extendida del PEE · versión 5.2.0 · 24 de julio de 2026</w:t>
      </w:r>
    </w:p>
    <w:p>
      <w:pPr>
        <w:pStyle w:val="Heading1"/>
      </w:pPr>
      <w:r>
        <w:t>1. Alcance</w:t>
      </w:r>
    </w:p>
    <w:p>
      <w:r>
        <w:t>La revisión contrasta la correspondencia entre afirmaciones, referencias, datos locales, código, Excel y propuesta normativa. Verificar una referencia significa confirmar autor, título, fecha, identificador y pertinencia para la afirmación concreta; no significa que la fuente avale el PEE.</w:t>
      </w:r>
    </w:p>
    <w:p>
      <w:pPr/>
      <w:r>
        <w:t>Esta revisión es un control interno de correspondencia documental. No constituye auditoría bibliográfica independiente, certificación externa ni garantía de exhaustividad.</w:t>
      </w:r>
    </w:p>
    <w:p>
      <w:pPr>
        <w:pStyle w:val="Heading1"/>
      </w:pPr>
      <w:r>
        <w:t>2. Correcciones sustantivas aplicadas</w:t>
      </w:r>
    </w:p>
    <w:p>
      <w:pPr>
        <w:pStyle w:val="ListBullet"/>
      </w:pPr>
      <w:r>
        <w:t>Feldstein: DOI corregido a 10.1086/260246.</w:t>
      </w:r>
    </w:p>
    <w:p>
      <w:pPr>
        <w:pStyle w:val="ListBullet"/>
      </w:pPr>
      <w:r>
        <w:t>Acemoglu–Restrepo: capítulo publicado en 2019 y DOI normalizado.</w:t>
      </w:r>
    </w:p>
    <w:p>
      <w:pPr>
        <w:pStyle w:val="ListBullet"/>
      </w:pPr>
      <w:r>
        <w:t>Eurostat MGDD: una sola entrada, edición 2022 publicada en 2023.</w:t>
      </w:r>
    </w:p>
    <w:p>
      <w:pPr>
        <w:pStyle w:val="ListBullet"/>
      </w:pPr>
      <w:r>
        <w:t>Demografía: 451,3 millones a 1 de enero de 2025; OADR no se interpreta como cotizantes por pensionista; la esperanza de vida a los 65 se documenta con demo_mlexpec y se identifica como estimación provisional.</w:t>
      </w:r>
    </w:p>
    <w:p>
      <w:pPr>
        <w:pStyle w:val="ListBullet"/>
      </w:pPr>
      <w:r>
        <w:t>Ageing Report: proyecciones condicionadas y heterogéneas, no senda inevitable.</w:t>
      </w:r>
    </w:p>
    <w:p>
      <w:pPr>
        <w:pStyle w:val="ListBullet"/>
      </w:pPr>
      <w:r>
        <w:t>Generationenkapital: proyecto legislativo alemán de 2024 no aprobado, no ley vigente.</w:t>
      </w:r>
    </w:p>
    <w:p>
      <w:pPr>
        <w:pStyle w:val="ListBullet"/>
      </w:pPr>
      <w:r>
        <w:t>PEPP: propuesta COM(2025) 840 diferenciada del Derecho vigente.</w:t>
      </w:r>
    </w:p>
    <w:p>
      <w:pPr>
        <w:pStyle w:val="ListBullet"/>
      </w:pPr>
      <w:r>
        <w:t>Comparadores institucionales: informes primarios exactos y límites de inferencia expresos.</w:t>
      </w:r>
    </w:p>
    <w:p>
      <w:pPr>
        <w:pStyle w:val="ListBullet"/>
      </w:pPr>
      <w:r>
        <w:t>Bibliografía de relleno o fuentes vagas retiradas cuando no sostenían una afirmación material.</w:t>
      </w:r>
    </w:p>
    <w:p>
      <w:pPr>
        <w:pStyle w:val="ListBullet"/>
      </w:pPr>
      <w:r>
        <w:t>Normas citadas en el Estatuto incorporadas a la bibliografía consolidada.</w:t>
      </w:r>
    </w:p>
    <w:p>
      <w:pPr>
        <w:pStyle w:val="Heading1"/>
        <w:pageBreakBefore/>
      </w:pPr>
      <w:r>
        <w:t>3. Jerarquía de evidencia</w:t>
      </w:r>
    </w:p>
    <w:tbl>
      <w:tblPr>
        <w:tblStyle w:val="TableGrid"/>
        <w:tblW w:type="dxa" w:w="9792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2448"/>
        <w:gridCol w:w="2448"/>
        <w:gridCol w:w="2448"/>
        <w:gridCol w:w="2448"/>
      </w:tblGrid>
      <w:tr>
        <w:trPr>
          <w:tblHeader w:val="true"/>
          <w:cantSplit/>
          <w:tblHeader w:val="true"/>
          <w:tblHeader w:val="true"/>
          <w:tblHeader w:val="true"/>
        </w:trPr>
        <w:tc>
          <w:tcPr>
            <w:tcW w:type="dxa" w:w="24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Elemento</w:t>
            </w:r>
          </w:p>
        </w:tc>
        <w:tc>
          <w:tcPr>
            <w:tcW w:type="dxa" w:w="24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Categoría</w:t>
            </w:r>
          </w:p>
        </w:tc>
        <w:tc>
          <w:tcPr>
            <w:tcW w:type="dxa" w:w="24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Prueba disponible</w:t>
            </w:r>
          </w:p>
        </w:tc>
        <w:tc>
          <w:tcPr>
            <w:tcW w:type="dxa" w:w="24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Límite</w:t>
            </w:r>
          </w:p>
        </w:tc>
      </w:tr>
      <w:tr>
        <w:trPr>
          <w:cantSplit/>
        </w:trPr>
        <w:tc>
          <w:tcPr>
            <w:tcW w:type="dxa" w:w="24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Demografía</w:t>
            </w:r>
          </w:p>
        </w:tc>
        <w:tc>
          <w:tcPr>
            <w:tcW w:type="dxa" w:w="24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Dato observado</w:t>
            </w:r>
          </w:p>
        </w:tc>
        <w:tc>
          <w:tcPr>
            <w:tcW w:type="dxa" w:w="24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Eurostat y extracción local demo_pjanind</w:t>
            </w:r>
          </w:p>
        </w:tc>
        <w:tc>
          <w:tcPr>
            <w:tcW w:type="dxa" w:w="24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Años de referencia distintos; OADR no es ratio financiera</w:t>
            </w:r>
          </w:p>
        </w:tc>
      </w:tr>
      <w:tr>
        <w:trPr>
          <w:cantSplit/>
        </w:trPr>
        <w:tc>
          <w:tcPr>
            <w:tcW w:type="dxa" w:w="24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Base contributiva 2,2 billones</w:t>
            </w:r>
          </w:p>
        </w:tc>
        <w:tc>
          <w:tcPr>
            <w:tcW w:type="dxa" w:w="24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Calibración</w:t>
            </w:r>
          </w:p>
        </w:tc>
        <w:tc>
          <w:tcPr>
            <w:tcW w:type="dxa" w:w="24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JSON, Excel y memoria</w:t>
            </w:r>
          </w:p>
        </w:tc>
        <w:tc>
          <w:tcPr>
            <w:tcW w:type="dxa" w:w="24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No es una estimación armonizada oficial</w:t>
            </w:r>
          </w:p>
        </w:tc>
      </w:tr>
      <w:tr>
        <w:trPr>
          <w:cantSplit/>
        </w:trPr>
        <w:tc>
          <w:tcPr>
            <w:tcW w:type="dxa" w:w="24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Coste 0,18 %</w:t>
            </w:r>
          </w:p>
        </w:tc>
        <w:tc>
          <w:tcPr>
            <w:tcW w:type="dxa" w:w="24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Calibración</w:t>
            </w:r>
          </w:p>
        </w:tc>
        <w:tc>
          <w:tcPr>
            <w:tcW w:type="dxa" w:w="24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Excel y JSON</w:t>
            </w:r>
          </w:p>
        </w:tc>
        <w:tc>
          <w:tcPr>
            <w:tcW w:type="dxa" w:w="24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Pendiente de presupuesto operativo bottom-up</w:t>
            </w:r>
          </w:p>
        </w:tc>
      </w:tr>
      <w:tr>
        <w:trPr>
          <w:cantSplit/>
        </w:trPr>
        <w:tc>
          <w:tcPr>
            <w:tcW w:type="dxa" w:w="24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Resultados 2065</w:t>
            </w:r>
          </w:p>
        </w:tc>
        <w:tc>
          <w:tcPr>
            <w:tcW w:type="dxa" w:w="24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Salida del modelo</w:t>
            </w:r>
          </w:p>
        </w:tc>
        <w:tc>
          <w:tcPr>
            <w:tcW w:type="dxa" w:w="24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Python, CSV y reconciliación central Excel</w:t>
            </w:r>
          </w:p>
        </w:tc>
        <w:tc>
          <w:tcPr>
            <w:tcW w:type="dxa" w:w="24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Condicionados a supuestos; no previsión</w:t>
            </w:r>
          </w:p>
        </w:tc>
      </w:tr>
      <w:tr>
        <w:trPr>
          <w:cantSplit/>
        </w:trPr>
        <w:tc>
          <w:tcPr>
            <w:tcW w:type="dxa" w:w="24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PFE, automatización y ciclo de vida</w:t>
            </w:r>
          </w:p>
        </w:tc>
        <w:tc>
          <w:tcPr>
            <w:tcW w:type="dxa" w:w="24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Extensión conceptual</w:t>
            </w:r>
          </w:p>
        </w:tc>
        <w:tc>
          <w:tcPr>
            <w:tcW w:type="dxa" w:w="24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Texto jurídico</w:t>
            </w:r>
          </w:p>
        </w:tc>
        <w:tc>
          <w:tcPr>
            <w:tcW w:type="dxa" w:w="24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No implementados en v5.2.0</w:t>
            </w:r>
          </w:p>
        </w:tc>
      </w:tr>
      <w:tr>
        <w:trPr>
          <w:cantSplit/>
        </w:trPr>
        <w:tc>
          <w:tcPr>
            <w:tcW w:type="dxa" w:w="24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Clasificación SEC 2010</w:t>
            </w:r>
          </w:p>
        </w:tc>
        <w:tc>
          <w:tcPr>
            <w:tcW w:type="dxa" w:w="24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Hipótesis jurídica/estadística</w:t>
            </w:r>
          </w:p>
        </w:tc>
        <w:tc>
          <w:tcPr>
            <w:tcW w:type="dxa" w:w="24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Reglamento 549/2013 y MGDD</w:t>
            </w:r>
          </w:p>
        </w:tc>
        <w:tc>
          <w:tcPr>
            <w:tcW w:type="dxa" w:w="24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Requeriría decisión institucional sobre control y riesgo</w:t>
            </w:r>
          </w:p>
        </w:tc>
      </w:tr>
    </w:tbl>
    <w:p>
      <w:pPr>
        <w:pStyle w:val="Heading1"/>
      </w:pPr>
      <w:r>
        <w:t>4. Regla de citación y defensa</w:t>
      </w:r>
    </w:p>
    <w:p>
      <w:r>
        <w:t>La bibliografía se utiliza para imponer límites: Markowitz fundamenta la diversificación, no los pesos 65/25/10; Glasserman fundamenta Monte Carlo, no Student-t(6) ni las correlaciones elegidas; SEC 2010 impide obtener neutralidad mediante etiquetas; los comparadores institucionales describen arquitecturas, pero no prueban causalmente su trasplantabilidad.</w:t>
      </w:r>
    </w:p>
    <w:p>
      <w:pPr>
        <w:pStyle w:val="Heading1"/>
      </w:pPr>
      <w:r>
        <w:t>5. Fuentes conservadas localmente</w:t>
      </w:r>
    </w:p>
    <w:p>
      <w:r>
        <w:t>El paquete incluye las directrices UCO sobre IA, el Reglamento 23/2024 del TFG, la guía docente disponible, el registro maestro y la extracción Eurostat. Las demás fuentes se identifican mediante DOI, ELI, CELEX, número de informe o URL institucional.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52" w:right="1224" w:bottom="1152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7A1F1F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364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20364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de revisión bibliográfica interna y trazabilidad del PEE v5.2.0</dc:title>
  <dc:subject>Control interno de correspondencia entre afirmaciones, referencias y resultados</dc:subject>
  <dc:creator>Mateo López Cuenca</dc:creator>
  <cp:keywords>bibliografía; trazabilidad; PEE; fuentes; auditoría académica</cp:keywords>
  <dc:description>v5.2.0, revisión interna final de julio de 2026. Revisión interna de consistencia; no constituye auditoría externa, certificación científica ni validación de viabilidad.</dc:description>
  <cp:lastModifiedBy>Mateo López Cuenca</cp:lastModifiedBy>
  <cp:revision>1</cp:revision>
  <dcterms:created xsi:type="dcterms:W3CDTF">2026-07-24T00:00:00Z</dcterms:created>
  <dcterms:modified xsi:type="dcterms:W3CDTF">2026-07-24T00:00:00Z</dcterms:modified>
  <cp:category>Documentación de fuentes</cp:category>
</cp:coreProperties>
</file>