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rPr>
          <w:b/>
        </w:rPr>
        <w:t>CONTROL DE CALIDAD</w:t>
      </w:r>
    </w:p>
    <w:p>
      <w:pPr>
        <w:pStyle w:val="Title"/>
        <w:keepNext/>
      </w:pPr>
      <w:r>
        <w:t>Informe de revisión interna de consistencia y limitaciones</w:t>
      </w:r>
    </w:p>
    <w:p>
      <w:pPr>
        <w:pStyle w:val="Subtitle"/>
      </w:pPr>
      <w:r>
        <w:t>Estado v5.2.0 · 24 de julio de 2026</w:t>
      </w:r>
    </w:p>
    <w:p>
      <w:pPr>
        <w:pStyle w:val="Subtitle"/>
      </w:pPr>
      <w:r>
        <w:t>Alcance. Este informe documenta comprobaciones internas del paquete. No constituye auditoría externa, certificación científica ni validación de la viabilidad económica, jurídica o institucional del PEE.</w:t>
      </w:r>
    </w:p>
    <w:p>
      <w:pPr>
        <w:spacing w:after="240"/>
      </w:pPr>
      <w:r>
        <w:rPr>
          <w:color w:val="2E74B5"/>
          <w:sz w:val="12"/>
        </w:rPr>
        <w:t>━━━━━━━━━━━━━━━━━━━━━━━━━━━━━━━━━━━━━━━━━━━━━━━━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360"/>
            <w:tcMar>
              <w:top w:w="120" w:type="dxa"/>
              <w:start w:w="160" w:type="dxa"/>
              <w:bottom w:w="120" w:type="dxa"/>
              <w:end w:w="160" w:type="dxa"/>
            </w:tcMar>
            <w:shd w:fill="E8EEF5"/>
          </w:tcPr>
          <w:p>
            <w:r>
              <w:rPr>
                <w:b/>
              </w:rPr>
              <w:t xml:space="preserve">Dictamen. </w:t>
            </w:r>
            <w:r>
              <w:t>Apto para revisión del tutor como borrador; no apto todavía para depósito ni para afirmar viabilidad aplicada.</w:t>
            </w:r>
          </w:p>
        </w:tc>
      </w:tr>
    </w:tbl>
    <w:p>
      <w:pPr>
        <w:spacing w:after="0"/>
      </w:pPr>
    </w:p>
    <w:p>
      <w:pPr>
        <w:pStyle w:val="Heading1"/>
      </w:pPr>
      <w:r>
        <w:t>Comprobaciones internas realizadas</w:t>
      </w:r>
    </w:p>
    <w:p>
      <w:pPr>
        <w:pStyle w:val="ListBullet"/>
        <w:spacing w:after="80"/>
      </w:pPr>
      <w:r>
        <w:t>ZIP original inventariado; versiones competidoras identificadas.</w:t>
      </w:r>
    </w:p>
    <w:p>
      <w:pPr>
        <w:pStyle w:val="ListBullet"/>
        <w:spacing w:after="80"/>
      </w:pPr>
      <w:r>
        <w:t>Python: 15/15 pruebas unitarias superadas; 18/18 salidas canónicas reproducidas con SHA-256 idéntico.</w:t>
      </w:r>
    </w:p>
    <w:p>
      <w:pPr>
        <w:pStyle w:val="ListBullet"/>
        <w:spacing w:after="80"/>
      </w:pPr>
      <w:r>
        <w:t>Monte Carlo: 100.000 trayectorias, semilla 2026; resultados reproducidos.</w:t>
      </w:r>
    </w:p>
    <w:p>
      <w:pPr>
        <w:pStyle w:val="ListBullet"/>
        <w:spacing w:after="80"/>
      </w:pPr>
      <w:r>
        <w:t>Excel: 23 hojas, 1.250 fórmulas con valor almacenado, tres gráficos nativos y cero errores cacheados; las 23 hojas fueron renderizadas e inspeccionadas.</w:t>
      </w:r>
    </w:p>
    <w:p>
      <w:pPr>
        <w:pStyle w:val="ListBullet"/>
        <w:spacing w:after="80"/>
      </w:pPr>
      <w:r>
        <w:t>Trayectoria central Excel–Python reconciliada en patrimonio, aportaciones, distribuciones y NAV.</w:t>
      </w:r>
    </w:p>
    <w:p>
      <w:pPr>
        <w:pStyle w:val="ListBullet"/>
        <w:spacing w:after="80"/>
      </w:pPr>
      <w:r>
        <w:t>Bibliografía: 56 referencias sustantivas normalizadas; DOI de Feldstein y fecha de Acemoglu–Restrepo corregidos; MGDD deduplicado; datos demográficos y estado legislativo del Generationenkapital contrastados; fuentes vagas o de relleno retiradas.</w:t>
      </w:r>
    </w:p>
    <w:p>
      <w:pPr>
        <w:pStyle w:val="ListBullet"/>
        <w:spacing w:after="80"/>
      </w:pPr>
      <w:r>
        <w:t>Normativa UCO oficial archivada: Reglamento 23/2024, guía docente 2024/25 y directrices IA 2023.</w:t>
      </w:r>
    </w:p>
    <w:p>
      <w:pPr/>
      <w:r>
        <w:t>Resumen ejecutivo incorporado como primera lectura para tutorización; memoria extendida conservada en DOCX y PDF como desarrollo íntegro y archivo de investigación, pendiente de delimitar el cuerpo evaluable.</w:t>
      </w:r>
    </w:p>
    <w:p>
      <w:pPr/>
      <w:r>
        <w:t>Anexo J sustituido por la misma fuente canónica que genera la propuesta normativa separada.</w:t>
      </w:r>
    </w:p>
    <w:p>
      <w:pPr/>
      <w:r>
        <w:t>Carencia, escenarios, estrés, UCA-I, rutas y alcance computacional reconciliados internamente con v5.2.0.</w:t>
      </w:r>
    </w:p>
    <w:p>
      <w:pPr/>
      <w:r>
        <w:t>Metadatos DOCX/PDF saneados; sin etiquetas internas de versiones de análisis no destinadas a tutorización.</w:t>
      </w:r>
    </w:p>
    <w:p>
      <w:pPr>
        <w:pStyle w:val="Heading1"/>
      </w:pPr>
      <w:r>
        <w:t>Correcciones aplicadas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Problema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Corrección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15 frente a 18 años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Memoria, modelo y propuesta normativa usan 18 ejercicios completos.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Estrés 2,181 frente a 2,784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t>Se conserva 2.783.859,474 M€ generado por v5.2.0.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−35 % ambiguo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Se rotula choque aditivo de −35 puntos porcentuales.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1 %/99 % como población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Se define como porcentaje de valor patrimonial.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18 hojas / 1.212 fórmulas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La versión canónica v5.2.0 amplía el libro a 23 hojas y 1.250 fórmulas con valor almacenado.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Ecuación impresa distinta del código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La memoria imprime la secuencia Xₜ → Dₜ → Aₜ₊₁.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Feldstein DOI erróneo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Se corrige a 10.1086/260246.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Generationenkapital como ley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Se cita como proyecto BT-Drs. 20/11898.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Eurostat tratado como autorización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Se distingue el asesoramiento metodológico no vinculante de la clasificación aplicada en cuentas y notificaciones oficiales.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S.13 como única sectorización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Se añade la posibilidad S.212 para instituciones y órganos de la UE y se clasifican por separado aportaciones, garantías, PFE y flujos.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BMR anterior a 2026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Se utiliza la versión consolidada a 1 de enero de 2026 y se incorpora el Reglamento (UE) 2025/914.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Reglas UCO sobregeneralizadas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Se cita el Reglamento 23/2024; la guía ADE 2024/25 se trata como versión actualmente publicada y pendiente de confirmación para 2026/27.</w:t>
            </w:r>
          </w:p>
        </w:tc>
      </w:tr>
      <w:t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Versiones híbridas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8"/>
              </w:rPr>
              <w:t>Se retiran las copias híbridas; se conserva una única memoria extendida v5.2.0 como desarrollo integral, separada del cuerpo evaluable que deberá acordarse con la tutorización.</w:t>
            </w:r>
          </w:p>
        </w:tc>
      </w:tr>
    </w:tbl>
    <w:p/>
    <w:p>
      <w:pPr>
        <w:pStyle w:val="Heading1"/>
      </w:pPr>
      <w:r>
        <w:t>Limitaciones que permanecen</w:t>
      </w:r>
    </w:p>
    <w:p>
      <w:pPr>
        <w:pStyle w:val="ListBullet"/>
        <w:spacing w:after="80"/>
      </w:pPr>
      <w:r>
        <w:t>La base contributiva de 2,2 billones, los retornos, el coste de 0,18 %, las volatilidades, las correlaciones y la crisis son calibraciones, no estimaciones causales.</w:t>
      </w:r>
    </w:p>
    <w:p>
      <w:pPr>
        <w:pStyle w:val="ListBullet"/>
        <w:spacing w:after="80"/>
      </w:pPr>
      <w:r>
        <w:t>El JSON centraliza la configuración del experimento; el script define las reglas de cálculo. Ambos deben conservarse juntos para reproducir la especificación v5.2.0.</w:t>
      </w:r>
    </w:p>
    <w:p>
      <w:pPr>
        <w:pStyle w:val="ListBullet"/>
        <w:spacing w:after="80"/>
      </w:pPr>
      <w:r>
        <w:t>Los resultados Monte Carlo del Excel están importados como valores y no se actualizan automáticamente.</w:t>
      </w:r>
    </w:p>
    <w:p>
      <w:pPr>
        <w:pStyle w:val="ListBullet"/>
        <w:spacing w:after="80"/>
      </w:pPr>
      <w:r>
        <w:t>UCA-I está formalizada en una hoja separada, pero su reserva no se integra aún como pasivo, dilución o salida en la contabilidad principal.</w:t>
      </w:r>
    </w:p>
    <w:p>
      <w:pPr>
        <w:pStyle w:val="ListBullet"/>
        <w:spacing w:after="80"/>
      </w:pPr>
      <w:r>
        <w:t>PFE, ingresos por automatización, ciclo de vida, mensualidades, sucesión y activación no están implementados cuantitativamente; aparecen rotulados como extensiones conceptuales.</w:t>
      </w:r>
    </w:p>
    <w:p>
      <w:pPr>
        <w:pStyle w:val="ListBullet"/>
        <w:spacing w:after="80"/>
      </w:pPr>
      <w:r>
        <w:t>La métrica de cohorte es una cuenta unitaria ilustrativa, no un modelo actuarial.</w:t>
      </w:r>
    </w:p>
    <w:p>
      <w:pPr>
        <w:pStyle w:val="ListBullet"/>
        <w:spacing w:after="80"/>
      </w:pPr>
      <w:r>
        <w:t>El año de precios 2025 es una convención que todavía no está enlazada a un deflactor oficial.</w:t>
      </w:r>
    </w:p>
    <w:p>
      <w:pPr>
        <w:pStyle w:val="ListBullet"/>
        <w:spacing w:after="80"/>
      </w:pPr>
      <w:r>
        <w:t>El hub y el laboratorio funcionan localmente; la difusión pública del vídeo queda condicionada a verificar el acceso anónimo y completar el expediente de licencias audiovisuales.</w:t>
      </w:r>
    </w:p>
    <w:p>
      <w:pPr>
        <w:pStyle w:val="ListBullet"/>
        <w:spacing w:after="80"/>
      </w:pPr>
      <w:r>
        <w:t>La base jurídica europea y la clasificación SEC 2010 permanecen abiertas.</w:t>
      </w:r>
    </w:p>
    <w:p>
      <w:pPr>
        <w:pStyle w:val="ListBullet"/>
        <w:spacing w:after="80"/>
      </w:pPr>
      <w:r>
        <w:t>La normativa UCO, sus formularios y la guía ADE aplicable deben verificarse de nuevo al abrirse la convocatoria 2026/27.</w:t>
      </w:r>
    </w:p>
    <w:p>
      <w:pPr>
        <w:pStyle w:val="Heading1"/>
      </w:pPr>
      <w:r>
        <w:t>Regla de versión</w:t>
      </w:r>
    </w:p>
    <w:p>
      <w:r>
        <w:t>Únicamente pueden citarse como resultados v5.2.0 los contenidos en:</w:t>
      </w:r>
    </w:p>
    <w:p>
      <w:pPr>
        <w:pStyle w:val="ListBullet"/>
        <w:spacing w:after="80"/>
      </w:pPr>
      <w:r>
        <w:t>03_CODIGO/pee_modelo.py y config/parametros_modelo.json;</w:t>
      </w:r>
    </w:p>
    <w:p>
      <w:pPr>
        <w:pStyle w:val="ListBullet"/>
        <w:spacing w:after="80"/>
      </w:pPr>
      <w:r>
        <w:t>04_DATOS/procesados;</w:t>
      </w:r>
    </w:p>
    <w:p>
      <w:pPr>
        <w:pStyle w:val="ListBullet"/>
        <w:spacing w:after="80"/>
      </w:pPr>
      <w:r>
        <w:t>05_RESULTADOS/figuras;</w:t>
      </w:r>
    </w:p>
    <w:p>
      <w:pPr>
        <w:pStyle w:val="ListBullet"/>
        <w:spacing w:after="80"/>
      </w:pPr>
      <w:r>
        <w:t>02_MODELO_EXCEL/Modelo_PEE_v5_2_0_Auditable.xlsx;</w:t>
      </w:r>
    </w:p>
    <w:p>
      <w:pPr>
        <w:pStyle w:val="ListBullet"/>
        <w:spacing w:after="80"/>
      </w:pPr>
      <w:r>
        <w:t>01_MEMORIA/TFG_PEE_Memoria_Extendida_v5_2_0.</w:t>
      </w:r>
    </w:p>
    <w:p>
      <w:r>
        <w:t>Cualquier ampliación deberá recibir un número de versión nuevo y regenerar código, datos, Excel, memoria y manifiesto.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52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573"/>
        <w:sz w:val="16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ERARIO PATRIMONIAL PERMANENTE · DOCUMENTACIÓN ACADÉMICA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F4D7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360"/>
    </w:pPr>
    <w:rPr>
      <w:rFonts w:asciiTheme="majorHAnsi" w:eastAsiaTheme="majorEastAsia" w:hAnsiTheme="majorHAnsi" w:cstheme="majorBidi" w:ascii="Calibri" w:hAnsi="Calibri"/>
      <w:i/>
      <w:iCs/>
      <w:color w:val="5B657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revisión interna de consistencia del paquete PEE v5.2.0</dc:title>
  <dc:subject>Control interno de calidad de la entrega académica con limitaciones expresas</dc:subject>
  <dc:creator>Mateo López Cuenca</dc:creator>
  <cp:keywords>PEE; auditoría; limitaciones; reproducibilidad; bibliografía</cp:keywords>
  <dc:description>v5.2.0, revisión interna final de julio de 2026. Revisión interna de consistencia; no constituye auditoría externa, certificación científica ni validación de viabilidad.</dc:description>
  <cp:lastModifiedBy>Mateo López Cuenca</cp:lastModifiedBy>
  <cp:revision>1</cp:revision>
  <dcterms:created xsi:type="dcterms:W3CDTF">2026-07-24T00:00:00Z</dcterms:created>
  <dcterms:modified xsi:type="dcterms:W3CDTF">2026-07-24T00:00:00Z</dcterms:modified>
  <cp:category>Control de calidad</cp:category>
</cp:coreProperties>
</file>