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60" w:line="300" w:lineRule="auto"/>
        <w:jc w:val="left"/>
      </w:pPr>
      <w:r>
        <w:rPr>
          <w:rFonts w:ascii="Aptos" w:hAnsi="Aptos"/>
          <w:b/>
          <w:i w:val="0"/>
          <w:color w:val="8B2C25"/>
          <w:sz w:val="20"/>
        </w:rPr>
        <w:t>GUÍA DE EXPLORACIÓN</w:t>
      </w:r>
    </w:p>
    <w:p>
      <w:pPr>
        <w:keepNext w:val="0"/>
        <w:spacing w:before="0" w:after="80" w:line="240" w:lineRule="auto"/>
        <w:jc w:val="left"/>
      </w:pPr>
      <w:r>
        <w:t>PEE v5.2.7</w:t>
      </w:r>
    </w:p>
    <w:p>
      <w:pPr>
        <w:keepNext w:val="0"/>
        <w:spacing w:before="0" w:after="280" w:line="264" w:lineRule="auto"/>
        <w:jc w:val="left"/>
      </w:pPr>
      <w:r>
        <w:rPr>
          <w:rFonts w:ascii="Georgia" w:hAnsi="Georgia"/>
          <w:b w:val="0"/>
          <w:i/>
          <w:color w:val="625D55"/>
          <w:sz w:val="34"/>
        </w:rPr>
        <w:t>Empiece por el tiempo que tiene.</w:t>
      </w:r>
    </w:p>
    <w:p>
      <w:pPr>
        <w:keepNext w:val="0"/>
        <w:spacing w:before="0" w:after="320" w:line="300" w:lineRule="auto"/>
        <w:jc w:val="left"/>
      </w:pPr>
      <w:r>
        <w:t>Revisión editorial final · julio de 2026 · borrador para tutorización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  <w:shd w:fill="FFF8EE"/>
          </w:tcPr>
          <w:p>
            <w:pPr>
              <w:spacing w:after="40"/>
              <w:jc w:val="center"/>
            </w:pPr>
            <w:r>
              <w:rPr>
                <w:rFonts w:ascii="Aptos Display" w:hAnsi="Aptos Display"/>
                <w:b/>
                <w:i w:val="0"/>
                <w:color w:val="8B2C25"/>
                <w:sz w:val="32"/>
              </w:rPr>
              <w:t>10 min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625D55"/>
                <w:sz w:val="19"/>
              </w:rPr>
              <w:t>Orientación</w:t>
            </w:r>
          </w:p>
        </w:tc>
        <w:tc>
          <w:tcPr>
            <w:tcW w:type="dxa" w:w="312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  <w:shd w:fill="FFF8EE"/>
          </w:tcPr>
          <w:p>
            <w:pPr>
              <w:spacing w:after="40"/>
              <w:jc w:val="center"/>
            </w:pPr>
            <w:r>
              <w:rPr>
                <w:rFonts w:ascii="Aptos Display" w:hAnsi="Aptos Display"/>
                <w:b/>
                <w:i w:val="0"/>
                <w:color w:val="8B2C25"/>
                <w:sz w:val="32"/>
              </w:rPr>
              <w:t>45 min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625D55"/>
                <w:sz w:val="19"/>
              </w:rPr>
              <w:t>Primera revisión</w:t>
            </w:r>
          </w:p>
        </w:tc>
        <w:tc>
          <w:tcPr>
            <w:tcW w:type="dxa" w:w="312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  <w:shd w:fill="FFF8EE"/>
          </w:tcPr>
          <w:p>
            <w:pPr>
              <w:spacing w:after="40"/>
              <w:jc w:val="center"/>
            </w:pPr>
            <w:r>
              <w:rPr>
                <w:rFonts w:ascii="Aptos Display" w:hAnsi="Aptos Display"/>
                <w:b/>
                <w:i w:val="0"/>
                <w:color w:val="8B2C25"/>
                <w:sz w:val="32"/>
              </w:rPr>
              <w:t>Libre</w:t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b/>
                <w:i w:val="0"/>
                <w:color w:val="625D55"/>
                <w:sz w:val="19"/>
              </w:rPr>
              <w:t>Reproducción</w:t>
            </w:r>
          </w:p>
        </w:tc>
      </w:tr>
    </w:tbl>
    <w:p>
      <w:pPr>
        <w:keepNext w:val="0"/>
        <w:spacing w:before="0" w:after="60" w:line="300" w:lineRule="auto"/>
        <w:jc w:val="left"/>
      </w:pPr>
      <w:r>
        <w:rPr>
          <w:rFonts w:ascii="Aptos" w:hAnsi="Aptos"/>
          <w:b w:val="0"/>
          <w:i w:val="0"/>
          <w:color w:val="111111"/>
          <w:sz w:val="22"/>
        </w:rPr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  <w:shd w:fill="FFF8EE"/>
          </w:tcPr>
          <w:p>
            <w:r>
              <w:t>Idea de uso. No es necesario revisar todos los materiales para evaluar la memoria. El conjunto documental permite profundizar, reproducir o impugnar cada afirmación hasta el nivel que resulte útil.</w:t>
            </w:r>
          </w:p>
        </w:tc>
      </w:tr>
    </w:tbl>
    <w:p>
      <w:pPr>
        <w:spacing w:after="40"/>
      </w:pPr>
    </w:p>
    <w:p>
      <w:pPr>
        <w:pStyle w:val="Heading1"/>
      </w:pPr>
      <w:r>
        <w:t>Qué contiene el paquete</w:t>
      </w:r>
    </w:p>
    <w:p>
      <w:pPr>
        <w:keepNext w:val="0"/>
        <w:spacing w:before="0" w:after="120" w:line="300" w:lineRule="auto"/>
        <w:jc w:val="left"/>
      </w:pPr>
      <w:r>
        <w:t>El Erario Patrimonial Permanente (PEE) es una hipótesis académica sobre capitalización pública complementaria y responsabilidad intergeneracional. Su eje es el principio de no descapitalización: recibir, mejorar y transmitir una base patrimonial sin sustituir el sistema de reparto.</w:t>
      </w:r>
    </w:p>
    <w:p>
      <w:pPr/>
      <w:r>
        <w:t>La síntesis canónica de la terminología UCA/CAUs, el Pacto de Custodia Intergeneracional y el PIOT está en 00_LEEME/SINTESIS_CANONICA_DEL_PEE_v5_2_7.pdf.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  <w:shd w:fill="E8EEF5"/>
          </w:tcPr>
          <w:p>
            <w:r>
              <w:t>Orden recomendado. Primero la memoria breve; después, a elección, vídeo o laboratorio; por último, las capas de reproducción y trazabilidad.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Ruta de 10 minutos · orientación</w:t>
      </w:r>
    </w:p>
    <w:p>
      <w:pPr>
        <w:keepNext w:val="0"/>
        <w:spacing w:after="80" w:line="300" w:lineRule="auto"/>
        <w:numPr>
          <w:ilvl w:val="0"/>
          <w:numId w:val="10"/>
        </w:numPr>
      </w:pPr>
      <w:r>
        <w:t>Abra la memoria breve de tutorización y lea el resumen inicial.</w:t>
      </w:r>
    </w:p>
    <w:p>
      <w:pPr>
        <w:keepNext w:val="0"/>
        <w:spacing w:after="80" w:line="300" w:lineRule="auto"/>
        <w:numPr>
          <w:ilvl w:val="0"/>
          <w:numId w:val="10"/>
        </w:numPr>
      </w:pPr>
      <w:r>
        <w:t>Salte a las conclusiones para identificar qué se afirma, qué no se afirma y bajo qué condiciones se propone continuar.</w:t>
      </w:r>
    </w:p>
    <w:p>
      <w:pPr>
        <w:keepNext w:val="0"/>
        <w:spacing w:after="80" w:line="300" w:lineRule="auto"/>
        <w:numPr>
          <w:ilvl w:val="0"/>
          <w:numId w:val="10"/>
        </w:numPr>
      </w:pPr>
      <w:r>
        <w:t>Vea el vídeo introductorio de 5:38 o entre directamente al laboratorio. El vídeo orienta la lectura; no constituye evidencia.</w:t>
      </w:r>
    </w:p>
    <w:p>
      <w:pPr>
        <w:spacing w:after="80" w:line="288" w:lineRule="auto"/>
      </w:pPr>
      <w:r>
        <w:t>Memoria breve: 01_MEMORIA/Resumen_Ejecutivo_para_Tutorizacion_PEE_v5_2_7.pdf</w:t>
      </w:r>
    </w:p>
    <w:p>
      <w:pPr>
        <w:spacing w:after="80" w:line="288" w:lineRule="auto"/>
      </w:pPr>
      <w:r>
        <w:rPr>
          <w:rFonts w:ascii="Aptos" w:hAnsi="Aptos"/>
          <w:b/>
          <w:i w:val="0"/>
          <w:color w:val="14283B"/>
          <w:sz w:val="21"/>
        </w:rPr>
        <w:t xml:space="preserve">Elección audiovisual: </w:t>
      </w:r>
      <w:r>
        <w:rPr>
          <w:rFonts w:ascii="Aptos Mono" w:hAnsi="Aptos Mono"/>
          <w:b w:val="0"/>
          <w:i w:val="0"/>
          <w:color w:val="625D55"/>
          <w:sz w:val="19"/>
        </w:rPr>
        <w:t>07_WEB_Y_VIDEO/ABRIR_PEE.html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  <w:shd w:fill="FFF8EE"/>
          </w:tcPr>
          <w:p>
            <w:pPr>
              <w:spacing w:after="40" w:line="300" w:lineRule="auto"/>
            </w:pPr>
            <w:r>
              <w:rPr>
                <w:rFonts w:ascii="Aptos" w:hAnsi="Aptos"/>
                <w:b/>
                <w:i w:val="0"/>
                <w:color w:val="8B2C25"/>
                <w:sz w:val="21"/>
              </w:rPr>
              <w:t xml:space="preserve">Resultado esperado. </w:t>
            </w:r>
            <w:r>
              <w:rPr>
                <w:rFonts w:ascii="Aptos" w:hAnsi="Aptos"/>
                <w:b w:val="0"/>
                <w:i w:val="0"/>
                <w:color w:val="625D55"/>
                <w:sz w:val="21"/>
              </w:rPr>
              <w:t>Conocer la pregunta de investigación, la escala del prototipo y la conclusión prudente sin entrar todavía en la reproducción técnica.</w:t>
            </w:r>
          </w:p>
        </w:tc>
      </w:tr>
    </w:tbl>
    <w:p>
      <w:pPr>
        <w:spacing w:after="40"/>
      </w:pPr>
    </w:p>
    <w:p>
      <w:pPr>
        <w:pStyle w:val="Heading1"/>
      </w:pPr>
      <w:r>
        <w:t>Ruta de 45 minutos · primera revisión</w:t>
      </w:r>
    </w:p>
    <w:p>
      <w:pPr>
        <w:keepNext w:val="0"/>
        <w:spacing w:after="80" w:line="300" w:lineRule="auto"/>
        <w:numPr>
          <w:ilvl w:val="0"/>
          <w:numId w:val="11"/>
        </w:numPr>
      </w:pPr>
      <w:r>
        <w:t>Lea completa la memoria breve para tutorización.</w:t>
      </w:r>
    </w:p>
    <w:p>
      <w:pPr>
        <w:keepNext w:val="0"/>
        <w:spacing w:after="80" w:line="300" w:lineRule="auto"/>
        <w:numPr>
          <w:ilvl w:val="0"/>
          <w:numId w:val="11"/>
        </w:numPr>
      </w:pPr>
      <w:r>
        <w:t>Elija entre ver el vídeo o acceder directamente al laboratorio.</w:t>
      </w:r>
    </w:p>
    <w:p>
      <w:pPr>
        <w:keepNext w:val="0"/>
        <w:spacing w:after="80" w:line="300" w:lineRule="auto"/>
        <w:numPr>
          <w:ilvl w:val="0"/>
          <w:numId w:val="11"/>
        </w:numPr>
      </w:pPr>
      <w:r>
        <w:t>Cambie dos parámetros del escenario y observe la trayectoria; luego consulte las pestañas Método y Evidencia.</w:t>
      </w:r>
    </w:p>
    <w:p>
      <w:pPr>
        <w:keepNext w:val="0"/>
        <w:spacing w:after="80" w:line="300" w:lineRule="auto"/>
        <w:numPr>
          <w:ilvl w:val="0"/>
          <w:numId w:val="11"/>
        </w:numPr>
      </w:pPr>
      <w:r>
        <w:t>Lea el informe de limitaciones antes de interpretar las cifras.</w:t>
      </w:r>
    </w:p>
    <w:p>
      <w:pPr>
        <w:spacing w:after="80" w:line="288" w:lineRule="auto"/>
      </w:pPr>
      <w:r>
        <w:rPr>
          <w:rFonts w:ascii="Aptos" w:hAnsi="Aptos"/>
          <w:b/>
          <w:i w:val="0"/>
          <w:color w:val="14283B"/>
          <w:sz w:val="21"/>
        </w:rPr>
        <w:t xml:space="preserve">Laboratorio directo: </w:t>
      </w:r>
      <w:r>
        <w:rPr>
          <w:rFonts w:ascii="Aptos Mono" w:hAnsi="Aptos Mono"/>
          <w:b w:val="0"/>
          <w:i w:val="0"/>
          <w:color w:val="625D55"/>
          <w:sz w:val="19"/>
        </w:rPr>
        <w:t>07_WEB_Y_VIDEO/LABORATORIO_PEE_LOCAL.html?directo=1</w:t>
      </w:r>
    </w:p>
    <w:p>
      <w:pPr>
        <w:spacing w:after="80" w:line="288" w:lineRule="auto"/>
      </w:pPr>
      <w:r>
        <w:rPr>
          <w:rFonts w:ascii="Aptos" w:hAnsi="Aptos"/>
          <w:b/>
          <w:i w:val="0"/>
          <w:color w:val="14283B"/>
          <w:sz w:val="21"/>
        </w:rPr>
        <w:t>Limitaciones: 10_CONTROL_INTERNO/INFORME_REVISION_INTERNA_Y_LIMITACIONES.pdf</w:t>
      </w:r>
      <w:r>
        <w:rPr>
          <w:rFonts w:ascii="Aptos Mono" w:hAnsi="Aptos Mono"/>
          <w:b w:val="0"/>
          <w:i w:val="0"/>
          <w:color w:val="625D55"/>
          <w:sz w:val="19"/>
        </w:rPr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  <w:shd w:fill="E8EEF5"/>
          </w:tcPr>
          <w:p>
            <w:pPr>
              <w:spacing w:after="40" w:line="300" w:lineRule="auto"/>
            </w:pPr>
            <w:r>
              <w:rPr>
                <w:rFonts w:ascii="Aptos" w:hAnsi="Aptos"/>
                <w:b/>
                <w:i w:val="0"/>
                <w:color w:val="14283B"/>
                <w:sz w:val="21"/>
              </w:rPr>
              <w:t xml:space="preserve">Resultado esperado. </w:t>
            </w:r>
            <w:r>
              <w:rPr>
                <w:rFonts w:ascii="Aptos" w:hAnsi="Aptos"/>
                <w:b w:val="0"/>
                <w:i w:val="0"/>
                <w:color w:val="625D55"/>
                <w:sz w:val="21"/>
              </w:rPr>
              <w:t>Distinguir datos, parámetros, hipótesis, reglas, resultados y limitaciones sin instalar software.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pStyle w:val="Heading1"/>
      </w:pPr>
      <w:r>
        <w:t>Ruta profunda · reproducción y contraste</w:t>
      </w:r>
    </w:p>
    <w:p>
      <w:pPr>
        <w:keepNext w:val="0"/>
        <w:spacing w:after="80" w:line="300" w:lineRule="auto"/>
        <w:numPr>
          <w:ilvl w:val="0"/>
          <w:numId w:val="12"/>
        </w:numPr>
      </w:pPr>
      <w:r>
        <w:t>Lea la memoria extendida y marque cada afirmación cuantitativa que desee reconstruir.</w:t>
      </w:r>
    </w:p>
    <w:p>
      <w:pPr>
        <w:keepNext w:val="0"/>
        <w:spacing w:after="80" w:line="300" w:lineRule="auto"/>
        <w:numPr>
          <w:ilvl w:val="0"/>
          <w:numId w:val="12"/>
        </w:numPr>
      </w:pPr>
      <w:r>
        <w:t>Recorra Excel en este orden: LEEME, Fuentes, Parámetros, Modelo central, Reconciliación y Checks.</w:t>
      </w:r>
    </w:p>
    <w:p>
      <w:pPr>
        <w:keepNext w:val="0"/>
        <w:spacing w:after="80" w:line="300" w:lineRule="auto"/>
        <w:numPr>
          <w:ilvl w:val="0"/>
          <w:numId w:val="12"/>
        </w:numPr>
      </w:pPr>
      <w:r>
        <w:t>Ejecute Python siguiendo el README de código; después contraste CSV, figuras y resultados con el libro Excel.</w:t>
      </w:r>
    </w:p>
    <w:p>
      <w:pPr>
        <w:keepNext w:val="0"/>
        <w:spacing w:after="80" w:line="300" w:lineRule="auto"/>
        <w:numPr>
          <w:ilvl w:val="0"/>
          <w:numId w:val="12"/>
        </w:numPr>
      </w:pPr>
      <w:r>
        <w:t>Examine el Estatuto como propuesta normativa hipotética y consulte la declaración de herramientas y la trazabilidad bibliográfica.</w:t>
      </w:r>
    </w:p>
    <w:p>
      <w:pPr>
        <w:spacing w:after="80" w:line="288" w:lineRule="auto"/>
      </w:pPr>
      <w:r>
        <w:rPr>
          <w:rFonts w:ascii="Aptos" w:hAnsi="Aptos"/>
          <w:b/>
          <w:i w:val="0"/>
          <w:color w:val="14283B"/>
          <w:sz w:val="21"/>
        </w:rPr>
        <w:t xml:space="preserve">Código: </w:t>
      </w:r>
      <w:r>
        <w:rPr>
          <w:rFonts w:ascii="Aptos Mono" w:hAnsi="Aptos Mono"/>
          <w:b w:val="0"/>
          <w:i w:val="0"/>
          <w:color w:val="625D55"/>
          <w:sz w:val="19"/>
        </w:rPr>
        <w:t>03_CODIGO/README.md</w:t>
      </w:r>
    </w:p>
    <w:p>
      <w:pPr>
        <w:spacing w:after="80" w:line="288" w:lineRule="auto"/>
      </w:pPr>
      <w:r>
        <w:rPr>
          <w:rFonts w:ascii="Aptos" w:hAnsi="Aptos"/>
          <w:b/>
          <w:i w:val="0"/>
          <w:color w:val="14283B"/>
          <w:sz w:val="21"/>
        </w:rPr>
        <w:t>Modelo Excel: 02_MODELO_EXCEL/Modelo_PEE_v5_2_0_Auditable.xlsx</w:t>
      </w:r>
      <w:r>
        <w:rPr>
          <w:rFonts w:ascii="Aptos Mono" w:hAnsi="Aptos Mono"/>
          <w:b w:val="0"/>
          <w:i w:val="0"/>
          <w:color w:val="625D55"/>
          <w:sz w:val="19"/>
        </w:rPr>
      </w:r>
    </w:p>
    <w:p>
      <w:pPr>
        <w:spacing w:after="80" w:line="288" w:lineRule="auto"/>
      </w:pPr>
      <w:r>
        <w:rPr>
          <w:rFonts w:ascii="Aptos" w:hAnsi="Aptos"/>
          <w:b/>
          <w:i w:val="0"/>
          <w:color w:val="14283B"/>
          <w:sz w:val="21"/>
        </w:rPr>
        <w:t xml:space="preserve">Estatuto hipotético: </w:t>
      </w:r>
      <w:r>
        <w:rPr>
          <w:rFonts w:ascii="Aptos Mono" w:hAnsi="Aptos Mono"/>
          <w:b w:val="0"/>
          <w:i w:val="0"/>
          <w:color w:val="625D55"/>
          <w:sz w:val="19"/>
        </w:rPr>
        <w:t>06_PROPUESTA_NORMATIVA/</w:t>
      </w:r>
    </w:p>
    <w:p>
      <w:pPr>
        <w:spacing w:after="80" w:line="288" w:lineRule="auto"/>
      </w:pPr>
      <w:r>
        <w:rPr>
          <w:rFonts w:ascii="Aptos" w:hAnsi="Aptos"/>
          <w:b/>
          <w:i w:val="0"/>
          <w:color w:val="14283B"/>
          <w:sz w:val="21"/>
        </w:rPr>
        <w:t xml:space="preserve">Fuentes y herramientas: </w:t>
      </w:r>
      <w:r>
        <w:rPr>
          <w:rFonts w:ascii="Aptos Mono" w:hAnsi="Aptos Mono"/>
          <w:b w:val="0"/>
          <w:i w:val="0"/>
          <w:color w:val="625D55"/>
          <w:sz w:val="19"/>
        </w:rPr>
        <w:t>08_FUENTES_Y_TRAZABILIDAD/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  <w:shd w:fill="FFF8EE"/>
          </w:tcPr>
          <w:p>
            <w:pPr>
              <w:spacing w:after="40" w:line="300" w:lineRule="auto"/>
            </w:pPr>
            <w:r>
              <w:rPr>
                <w:rFonts w:ascii="Aptos" w:hAnsi="Aptos"/>
                <w:b/>
                <w:i w:val="0"/>
                <w:color w:val="8B2C25"/>
                <w:sz w:val="21"/>
              </w:rPr>
              <w:t xml:space="preserve">Resultado esperado. </w:t>
            </w:r>
            <w:r>
              <w:rPr>
                <w:rFonts w:ascii="Aptos" w:hAnsi="Aptos"/>
                <w:b w:val="0"/>
                <w:i w:val="0"/>
                <w:color w:val="625D55"/>
                <w:sz w:val="21"/>
              </w:rPr>
              <w:t>Seguir una afirmación desde el texto hasta su fuente, parámetro, fórmula, código y salida, y localizar el punto exacto en que podría refutarse.</w:t>
            </w:r>
          </w:p>
        </w:tc>
      </w:tr>
    </w:tbl>
    <w:p>
      <w:pPr>
        <w:spacing w:after="40"/>
      </w:pPr>
    </w:p>
    <w:p>
      <w:pPr>
        <w:pStyle w:val="Heading1"/>
      </w:pPr>
      <w:r>
        <w:t>Alcance de implementación</w:t>
      </w:r>
    </w:p>
    <w:p>
      <w:pPr>
        <w:pStyle w:val="Heading2"/>
      </w:pPr>
      <w:r>
        <w:t>Implementado en el prototipo</w:t>
      </w:r>
    </w:p>
    <w:p>
      <w:pPr>
        <w:keepNext w:val="0"/>
        <w:spacing w:after="80" w:line="300" w:lineRule="auto"/>
        <w:numPr>
          <w:ilvl w:val="0"/>
          <w:numId w:val="13"/>
        </w:numPr>
      </w:pPr>
      <w:r>
        <w:t>Trayectoria patrimonial ordinaria y cuatro escenarios.</w:t>
      </w:r>
    </w:p>
    <w:p>
      <w:pPr>
        <w:keepNext w:val="0"/>
        <w:spacing w:after="80" w:line="300" w:lineRule="auto"/>
        <w:numPr>
          <w:ilvl w:val="0"/>
          <w:numId w:val="13"/>
        </w:numPr>
      </w:pPr>
      <w:r>
        <w:t>Pruebas de estrés, sensibilidad, cuentas unitarias y Monte Carlo.</w:t>
      </w:r>
    </w:p>
    <w:p>
      <w:pPr>
        <w:keepNext w:val="0"/>
        <w:spacing w:after="80" w:line="300" w:lineRule="auto"/>
        <w:numPr>
          <w:ilvl w:val="0"/>
          <w:numId w:val="13"/>
        </w:numPr>
      </w:pPr>
      <w:r>
        <w:t>Contraste de implementación entre Excel y Python.</w:t>
      </w:r>
    </w:p>
    <w:p>
      <w:pPr>
        <w:pStyle w:val="Heading2"/>
      </w:pPr>
      <w:r>
        <w:t>Permanece conceptual</w:t>
      </w:r>
    </w:p>
    <w:p>
      <w:pPr>
        <w:keepNext w:val="0"/>
        <w:spacing w:after="80" w:line="300" w:lineRule="auto"/>
        <w:numPr>
          <w:ilvl w:val="0"/>
          <w:numId w:val="14"/>
        </w:numPr>
      </w:pPr>
      <w:r>
        <w:t>PFE, automatización y ciclo de vida.</w:t>
      </w:r>
    </w:p>
    <w:p>
      <w:pPr>
        <w:keepNext w:val="0"/>
        <w:spacing w:after="80" w:line="300" w:lineRule="auto"/>
        <w:numPr>
          <w:ilvl w:val="0"/>
          <w:numId w:val="14"/>
        </w:numPr>
      </w:pPr>
      <w:r>
        <w:t>Mensualidades, mortalidad, sucesión y activación decreciente.</w:t>
      </w:r>
    </w:p>
    <w:p>
      <w:pPr>
        <w:keepNext w:val="0"/>
        <w:spacing w:after="80" w:line="300" w:lineRule="auto"/>
        <w:numPr>
          <w:ilvl w:val="0"/>
          <w:numId w:val="14"/>
        </w:numPr>
      </w:pPr>
      <w:r>
        <w:t>Compatibilidad jurídica definitiva y decisión institucional real.</w:t>
      </w:r>
    </w:p>
    <w:p>
      <w:r>
        <w:br w:type="page"/>
      </w:r>
    </w:p>
    <w:p>
      <w:pPr>
        <w:pStyle w:val="Heading1"/>
      </w:pPr>
      <w:r>
        <w:t>Vídeo y laboratorio · elección libre</w:t>
      </w:r>
    </w:p>
    <w:p>
      <w:pPr>
        <w:keepNext w:val="0"/>
        <w:spacing w:before="0" w:after="120" w:line="300" w:lineRule="auto"/>
        <w:jc w:val="left"/>
      </w:pPr>
      <w:r>
        <w:t>El vídeo funciona como introducción conceptual y su visionado no bloquea el acceso al laboratorio. El simulador local funciona sin recopilación de datos y no requiere conexión.</w:t>
      </w:r>
    </w:p>
    <w:p>
      <w:pPr>
        <w:spacing w:after="80" w:line="288" w:lineRule="auto"/>
      </w:pPr>
      <w:r>
        <w:rPr>
          <w:rFonts w:ascii="Aptos" w:hAnsi="Aptos"/>
          <w:b/>
          <w:i w:val="0"/>
          <w:color w:val="14283B"/>
          <w:sz w:val="21"/>
        </w:rPr>
        <w:t xml:space="preserve">Hub local: </w:t>
      </w:r>
      <w:r>
        <w:rPr>
          <w:rFonts w:ascii="Aptos Mono" w:hAnsi="Aptos Mono"/>
          <w:b w:val="0"/>
          <w:i w:val="0"/>
          <w:color w:val="625D55"/>
          <w:sz w:val="19"/>
        </w:rPr>
        <w:t>07_WEB_Y_VIDEO/ABRIR_PEE.html</w:t>
      </w:r>
    </w:p>
    <w:p>
      <w:pPr>
        <w:spacing w:after="80" w:line="288" w:lineRule="auto"/>
      </w:pPr>
      <w:r>
        <w:t>Vídeo público vigente: PEE_Pelicula_Institucional_v5_2_6_WEB_720p.mp4 (locución fuente íntegra, cama musical separada y denominación «Unidades Ciudadanas de Acumulación»).</w:t>
      </w:r>
    </w:p>
    <w:p>
      <w:pPr>
        <w:spacing w:after="80" w:line="288" w:lineRule="auto"/>
      </w:pPr>
      <w:r>
        <w:t>Transcripción de la locución: PEE_Pelicula_Institucional_Transcripcion_v5_2_6.txt</w:t>
      </w:r>
    </w:p>
    <w:p>
      <w:pPr>
        <w:spacing w:after="80" w:line="288" w:lineRule="auto"/>
      </w:pPr>
      <w:r>
        <w:t>Subtítulos sincronizados: PEE_Pelicula_Institucional_Subtitulos_es_v5_2_6.vtt</w:t>
      </w:r>
    </w:p>
    <w:p>
      <w:pPr>
        <w:spacing w:after="80" w:line="288" w:lineRule="auto"/>
      </w:pPr>
      <w:r>
        <w:rPr>
          <w:rFonts w:ascii="Aptos" w:hAnsi="Aptos"/>
          <w:b/>
          <w:i w:val="0"/>
          <w:color w:val="14283B"/>
          <w:sz w:val="21"/>
        </w:rPr>
        <w:t>Acceso alojado: https://proyecto-pee.eu/ (sitio público oficial).</w:t>
      </w:r>
      <w:r>
        <w:rPr>
          <w:rFonts w:ascii="Aptos Mono" w:hAnsi="Aptos Mono"/>
          <w:b w:val="0"/>
          <w:i w:val="0"/>
          <w:color w:val="625D55"/>
          <w:sz w:val="19"/>
        </w:rPr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  <w:shd w:fill="FFF8EE"/>
          </w:tcPr>
          <w:p>
            <w:pPr>
              <w:spacing w:after="40" w:line="300" w:lineRule="auto"/>
            </w:pPr>
            <w:r>
              <w:rPr>
                <w:rFonts w:ascii="Aptos" w:hAnsi="Aptos"/>
                <w:b/>
                <w:i w:val="0"/>
                <w:color w:val="8B2C25"/>
                <w:sz w:val="21"/>
              </w:rPr>
              <w:t xml:space="preserve">Aclaración de la locución. </w:t>
            </w:r>
            <w:r>
              <w:rPr>
                <w:rFonts w:ascii="Aptos" w:hAnsi="Aptos"/>
                <w:b w:val="0"/>
                <w:i w:val="0"/>
                <w:color w:val="625D55"/>
                <w:sz w:val="21"/>
              </w:rPr>
              <w:t>«Aportaciones del 0,8 %» significa «crecimiento real anual de las aportaciones del 0,8 %». No designa una aportación sobre el PIB. La pista de subtítulos reproduce la voz; la transcripción incorpora esta precisión editorial.</w:t>
            </w:r>
          </w:p>
        </w:tc>
      </w:tr>
    </w:tbl>
    <w:p>
      <w:pPr>
        <w:spacing w:after="40"/>
      </w:pPr>
    </w:p>
    <w:p>
      <w:pPr>
        <w:pStyle w:val="Heading1"/>
      </w:pPr>
      <w:r>
        <w:t>Seis reglas para leer correctamente</w:t>
      </w:r>
    </w:p>
    <w:p>
      <w:pPr>
        <w:keepNext w:val="0"/>
        <w:spacing w:after="80" w:line="300" w:lineRule="auto"/>
        <w:numPr>
          <w:ilvl w:val="0"/>
          <w:numId w:val="15"/>
        </w:numPr>
      </w:pPr>
      <w:r>
        <w:t>Un escenario no es una previsión.</w:t>
      </w:r>
    </w:p>
    <w:p>
      <w:pPr>
        <w:keepNext w:val="0"/>
        <w:spacing w:after="80" w:line="300" w:lineRule="auto"/>
        <w:numPr>
          <w:ilvl w:val="0"/>
          <w:numId w:val="15"/>
        </w:numPr>
      </w:pPr>
      <w:r>
        <w:t>Monte Carlo describe la incertidumbre programada, no el futuro.</w:t>
      </w:r>
    </w:p>
    <w:p>
      <w:pPr>
        <w:keepNext w:val="0"/>
        <w:spacing w:after="80" w:line="300" w:lineRule="auto"/>
        <w:numPr>
          <w:ilvl w:val="0"/>
          <w:numId w:val="15"/>
        </w:numPr>
      </w:pPr>
      <w:r>
        <w:t>Coincidencia entre Excel y Python comprueba implementación, no validez económica.</w:t>
      </w:r>
    </w:p>
    <w:p>
      <w:pPr>
        <w:keepNext w:val="0"/>
        <w:spacing w:after="80" w:line="300" w:lineRule="auto"/>
        <w:numPr>
          <w:ilvl w:val="0"/>
          <w:numId w:val="15"/>
        </w:numPr>
      </w:pPr>
      <w:r>
        <w:t>Una fórmula formaliza un mecanismo; no demuestra su legitimidad.</w:t>
      </w:r>
    </w:p>
    <w:p>
      <w:pPr>
        <w:keepNext w:val="0"/>
        <w:spacing w:after="80" w:line="300" w:lineRule="auto"/>
        <w:numPr>
          <w:ilvl w:val="0"/>
          <w:numId w:val="15"/>
        </w:numPr>
      </w:pPr>
      <w:r>
        <w:t>El Estatuto es una propuesta hipotética, no Derecho vigente.</w:t>
      </w:r>
    </w:p>
    <w:p>
      <w:pPr>
        <w:keepNext w:val="0"/>
        <w:spacing w:after="80" w:line="300" w:lineRule="auto"/>
        <w:numPr>
          <w:ilvl w:val="0"/>
          <w:numId w:val="15"/>
        </w:numPr>
      </w:pPr>
      <w:r>
        <w:t>Revisión interna no equivale a auditoría externa ni revisión por pares.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360"/>
      </w:tblGrid>
      <w:tr>
        <w:tc>
          <w:tcPr>
            <w:tcW w:type="dxa" w:w="9360"/>
            <w:tcMar>
              <w:top w:w="100" w:type="dxa"/>
              <w:start w:w="140" w:type="dxa"/>
              <w:bottom w:w="100" w:type="dxa"/>
              <w:end w:w="140" w:type="dxa"/>
            </w:tcMar>
            <w:vAlign w:val="center"/>
            <w:shd w:fill="E8EEF5"/>
          </w:tcPr>
          <w:p>
            <w:pPr>
              <w:spacing w:after="40" w:line="300" w:lineRule="auto"/>
            </w:pPr>
            <w:r>
              <w:rPr>
                <w:rFonts w:ascii="Aptos" w:hAnsi="Aptos"/>
                <w:b/>
                <w:i w:val="0"/>
                <w:color w:val="14283B"/>
                <w:sz w:val="21"/>
              </w:rPr>
              <w:t xml:space="preserve">Antes del depósito. </w:t>
            </w:r>
            <w:r>
              <w:rPr>
                <w:rFonts w:ascii="Aptos" w:hAnsi="Aptos"/>
                <w:b w:val="0"/>
                <w:i w:val="0"/>
                <w:color w:val="625D55"/>
                <w:sz w:val="21"/>
              </w:rPr>
              <w:t>Confirmar la guía, los formularios, la extensión y el tiempo de defensa aplicables a la convocatoria UCO 2026/27.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footerReference w:type="even" r:id="rId13"/>
      <w:headerReference w:type="even" r:id="rId14"/>
      <w:pgSz w:w="12240" w:h="15840"/>
      <w:pgMar w:top="1037" w:right="1123" w:bottom="1037" w:left="1123" w:header="518" w:footer="51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Página </w:t>
    </w:r>
    <w:fldSimple w:instr="PAGE">
      <w:r>
        <w:t>1</w:t>
      </w:r>
    </w:fldSimple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Página </w:t>
    </w:r>
    <w:fldSimple w:instr="PAGE">
      <w:r>
        <w:t>1</w:t>
      </w:r>
    </w:fldSimple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Página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ptos" w:hAnsi="Aptos"/>
        <w:b/>
        <w:i w:val="0"/>
        <w:color w:val="8B2C25"/>
        <w:sz w:val="17"/>
      </w:rPr>
      <w:t>ERARIO PATRIMONIAL PERMANENTE  ·  GUÍA DE ENTRADA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80"/>
      </w:pPr>
      <w:rPr>
        <w:rFonts w:ascii="Aptos" w:hAnsi="Aptos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80"/>
      </w:pPr>
      <w:rPr>
        <w:rFonts w:ascii="Aptos" w:hAnsi="Aptos"/>
      </w:rPr>
    </w:lvl>
  </w:abstractNum>
  <w:num w:numId="11">
    <w:abstractNumId w:val="10"/>
  </w:num>
  <w:abstractNum w:abstractNumId="11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80"/>
      </w:pPr>
      <w:rPr>
        <w:rFonts w:ascii="Aptos" w:hAnsi="Aptos"/>
      </w:rPr>
    </w:lvl>
  </w:abstractNum>
  <w:num w:numId="12">
    <w:abstractNumId w:val="11"/>
  </w:num>
  <w:abstractNum w:abstractNumId="12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80"/>
      </w:pPr>
      <w:rPr>
        <w:rFonts w:ascii="Aptos" w:hAnsi="Aptos"/>
      </w:rPr>
    </w:lvl>
  </w:abstractNum>
  <w:num w:numId="13">
    <w:abstractNumId w:val="12"/>
  </w:num>
  <w:abstractNum w:abstractNumId="13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80"/>
      </w:pPr>
      <w:rPr>
        <w:rFonts w:ascii="Aptos" w:hAnsi="Aptos"/>
      </w:rPr>
    </w:lvl>
  </w:abstractNum>
  <w:num w:numId="14">
    <w:abstractNumId w:val="13"/>
  </w:num>
  <w:abstractNum w:abstractNumId="14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80"/>
      </w:pPr>
      <w:rPr>
        <w:rFonts w:ascii="Aptos" w:hAnsi="Aptos"/>
      </w:rPr>
    </w:lvl>
  </w:abstract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ptos" w:hAnsi="Aptos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8B2C2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4283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4283B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 v5.2.0 — Guía de exploración</dc:title>
  <dc:subject>Guía de entrada al ecosistema académico PEE</dc:subject>
  <dc:creator>Mateo López Cuenca</dc:creator>
  <cp:keywords>PEE, TFG, guía de exploración, revisión interna</cp:keywords>
  <dc:description>Actualización editorial y audiovisual v5.2.7.</dc:description>
  <cp:lastModifiedBy/>
  <cp:revision>1</cp:revision>
  <dcterms:created xsi:type="dcterms:W3CDTF">2013-12-23T23:15:00Z</dcterms:created>
  <dcterms:modified xsi:type="dcterms:W3CDTF">2013-12-23T23:15:00Z</dcterms:modified>
  <cp:category/>
  <cp:version/>
</cp:coreProperties>
</file>