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>
          <w:b/>
        </w:rPr>
        <w:t>TRANSPARENCIA METODOLÓGICA</w:t>
      </w:r>
    </w:p>
    <w:p>
      <w:pPr>
        <w:pStyle w:val="Title"/>
        <w:keepNext/>
      </w:pPr>
      <w:r>
        <w:t>Declaración de procedencia y uso de herramientas</w:t>
      </w:r>
    </w:p>
    <w:p>
      <w:pPr>
        <w:pStyle w:val="Subtitle"/>
      </w:pPr>
      <w:r>
        <w:t>Registro de asistencia generativa, software, activos audiovisuales y responsabilidad</w:t>
      </w:r>
    </w:p>
    <w:p>
      <w:pPr>
        <w:spacing w:after="240"/>
      </w:pPr>
      <w:r>
        <w:rPr>
          <w:color w:val="2E74B5"/>
          <w:sz w:val="12"/>
        </w:rPr>
        <w:t>━━━━━━━━━━━━━━━━━━━━━━━━━━━━━━━━━━━━━━━━━━━━━━━━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tblHeader w:val="true"/>
          <w:cantSplit/>
        </w:trPr>
        <w:tc>
          <w:tcPr>
            <w:tcW w:type="dxa" w:w="9360"/>
            <w:tcMar>
              <w:top w:w="120" w:type="dxa"/>
              <w:start w:w="160" w:type="dxa"/>
              <w:bottom w:w="120" w:type="dxa"/>
              <w:end w:w="160" w:type="dxa"/>
            </w:tcMar>
            <w:shd w:fill="E8EEF5"/>
          </w:tcPr>
          <w:p>
            <w:pPr>
              <w:widowControl/>
            </w:pPr>
            <w:r>
              <w:rPr>
                <w:b/>
              </w:rPr>
              <w:t xml:space="preserve">Criterio. </w:t>
            </w:r>
            <w:r>
              <w:t>La herramienta puede proponer; la evidencia decide; el autor responde. La declaración no atribuye a una herramienta autoría, responsabilidad ni validez científica.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Uso académico de herramientas generativas</w:t>
      </w:r>
    </w:p>
    <w:p>
      <w:r>
        <w:t>Se utilizaron herramientas generativas basadas en inteligencia artificial como apoyo para estructuración, revisión lingüística, programación, documentación, exploración de alternativas y producción audiovisual. Su intervención se declara de acuerdo con las directrices UCO de 15 de septiembre de 2023, que orientan a utilizarlas como complemento y con revisión crítica; su directriz 5 considera imprescindible citar la bibliografía o la herramienta utilizada en los trabajos evaluables.</w:t>
      </w:r>
    </w:p>
    <w:p>
      <w:r>
        <w:t>El autor conserva la responsabilidad sobre la selección de fuentes, los parámetros, la interpretación, la revisión de código y la exposición oral. La revisión interna de consistencia retiró afirmaciones que no podían vincularse a una fuente, celda, función o salida reproducible. No constituye auditoría externa, certificación científica ni validación de viabilidad.</w:t>
      </w:r>
    </w:p>
    <w:p>
      <w:pPr>
        <w:pStyle w:val="Heading1"/>
        <w:keepNext/>
        <w:keepLines/>
      </w:pPr>
      <w:r>
        <w:t>Registro por componente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rPr>
          <w:tblHeader w:val="true"/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center"/>
          </w:tcPr>
          <w:p>
            <w:pPr>
              <w:widowControl/>
              <w:jc w:val="center"/>
            </w:pPr>
            <w:r>
              <w:rPr>
                <w:b/>
                <w:sz w:val="18"/>
              </w:rPr>
              <w:t>Componente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center"/>
          </w:tcPr>
          <w:p>
            <w:pPr>
              <w:widowControl/>
              <w:jc w:val="center"/>
            </w:pPr>
            <w:r>
              <w:rPr>
                <w:b/>
                <w:sz w:val="18"/>
              </w:rPr>
              <w:t>Asistencia declarada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center"/>
          </w:tcPr>
          <w:p>
            <w:pPr>
              <w:widowControl/>
              <w:jc w:val="center"/>
            </w:pPr>
            <w:r>
              <w:rPr>
                <w:b/>
                <w:sz w:val="18"/>
              </w:rPr>
              <w:t>Control aplicado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  <w:vAlign w:val="center"/>
          </w:tcPr>
          <w:p>
            <w:pPr>
              <w:widowControl/>
              <w:jc w:val="center"/>
            </w:pPr>
            <w:r>
              <w:rPr>
                <w:b/>
                <w:sz w:val="18"/>
              </w:rPr>
              <w:t>Estado</w:t>
            </w:r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Memoria y Estatuto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Apoyo generativo en estructura, redacción y consistencia.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t>Revisión humana; separación entre Derecho vigente y propuesta; revisión interna de referencias.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Declarado</w:t>
            </w:r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Python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Apoyo en generación, depuración y documentación.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15 pruebas unitarias; reproducción de 100.000 trayectorias; revisión de fórmulas.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t>Comprobado internamente; no validación externa</w:t>
            </w:r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Excel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Apoyo en construcción y documentación.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23 hojas renderizadas; 1.250 fórmulas con caché; reconciliación con Python; 0 errores cacheados.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t>Reconciliado internamente con limitaciones</w:t>
            </w:r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Vídeo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Locución sintética mediante ElevenLabs; composición y guion asistidos.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Locución fuente preservada en v5.2.6; la música se mezcla por separado y recibe ducking únicamente en su rama. La voz no recibe cambios de velocidad, tono, ecualización, normalización, compresión ni ganancia. Vídeo web de 338,207 s con subtítulos VTT y transcripción.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Publicado; licencias pendientes de regularización</w:t>
            </w:r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Web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Apoyo generativo en HTML/CSS/JavaScript y despliegue.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Apertura de https://proyecto-pee.eu/ verificada; sin analítica propia identificada.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Alojamiento externo</w:t>
            </w:r>
          </w:p>
        </w:tc>
      </w:tr>
      <w:tr>
        <w:trPr>
          <w:cantSplit/>
        </w:trPr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Bibliografía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Apoyo en localización y normalización.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t>Metadata y DOI revisados internamente; se prohíben páginas inventadas.</w:t>
            </w:r>
          </w:p>
        </w:tc>
        <w:tc>
          <w:tcPr>
            <w:tcW w:type="dxa" w:w="17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widowControl/>
              <w:spacing w:after="0"/>
            </w:pPr>
            <w:r>
              <w:rPr>
                <w:sz w:val="18"/>
              </w:rPr>
              <w:t>Registro de estados incluido</w:t>
            </w:r>
          </w:p>
        </w:tc>
      </w:tr>
    </w:tbl>
    <w:p/>
    <w:p>
      <w:pPr>
        <w:pStyle w:val="Heading1"/>
        <w:keepNext/>
        <w:keepLines/>
      </w:pPr>
      <w:r>
        <w:t>Activos audiovisuales</w:t>
      </w:r>
    </w:p>
    <w:p>
      <w:pPr>
        <w:pStyle w:val="ListBullet"/>
        <w:spacing w:after="80"/>
      </w:pPr>
      <w:r>
        <w:t>Locución final: ElevenLabs; voz identificada en el archivo de origen como «Sofia – Warm, Expressive and Polished»; generación recibida el 28 de julio de 2026 e integrada sin procesar en la revisión audiovisual v5.2.6.</w:t>
      </w:r>
    </w:p>
    <w:p>
      <w:pPr>
        <w:pStyle w:val="ListBullet"/>
        <w:spacing w:after="80"/>
      </w:pPr>
      <w:r>
        <w:t>Vídeo web: MP4 H.264 1280×720 con banda AAC estéreo a 48 kHz y duración 338,207 s. La fuente de voz se conserva sin cambios de velocidad, tono, ecualización, normalización, compresión ni ganancia. La cama musical se mezcla por separado y recibe ducking en función de la voz. Incluye VTT y transcripción externos; el MP4 no incrusta subtítulos.</w:t>
      </w:r>
    </w:p>
    <w:p>
      <w:pPr>
        <w:pStyle w:val="ListBullet"/>
        <w:spacing w:after="80"/>
      </w:pPr>
      <w:r>
        <w:t>Música e imágenes: no existe un registro de licencia completo. La publicación en proyecto-pee.eu no equivale a una licencia; antes de cualquier difusión institucional deben regularizarse o sustituirse dichos activos.</w:t>
      </w:r>
    </w:p>
    <w:p>
      <w:pPr>
        <w:pStyle w:val="ListBullet"/>
        <w:spacing w:after="80"/>
      </w:pPr>
      <w:r>
        <w:t>Tipografías y software de edición: deben completarse en el registro si el tutor exige un expediente de producción audiovisual.</w:t>
      </w:r>
    </w:p>
    <w:p>
      <w:pPr>
        <w:pStyle w:val="Heading1"/>
        <w:keepNext/>
        <w:keepLines/>
      </w:pPr>
      <w:r>
        <w:t>Qué no se afirma</w:t>
      </w:r>
    </w:p>
    <w:p>
      <w:pPr>
        <w:pStyle w:val="ListBullet"/>
        <w:spacing w:after="80"/>
      </w:pPr>
      <w:r>
        <w:t>No se afirma que todo el texto haya sido escrito sin asistencia.</w:t>
      </w:r>
    </w:p>
    <w:p>
      <w:pPr>
        <w:pStyle w:val="ListBullet"/>
        <w:spacing w:after="80"/>
      </w:pPr>
      <w:r>
        <w:t>No se afirma que la coincidencia entre Excel y Python valide la economía del modelo.</w:t>
      </w:r>
    </w:p>
    <w:p>
      <w:pPr>
        <w:pStyle w:val="ListBullet"/>
        <w:spacing w:after="80"/>
      </w:pPr>
      <w:r>
        <w:t>No se afirma que una referencia fuera leída íntegramente cuando solo se verificó metadata o una sección.</w:t>
      </w:r>
    </w:p>
    <w:p>
      <w:pPr>
        <w:pStyle w:val="ListBullet"/>
        <w:spacing w:after="80"/>
      </w:pPr>
      <w:r>
        <w:t>No se afirma que el vídeo o la web constituyan evidencia científica.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52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573"/>
        <w:sz w:val="16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ERARIO PATRIMONIAL PERMANENTE · DOCUMENTACIÓN ACADÉMICA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F4D7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360"/>
    </w:pPr>
    <w:rPr>
      <w:rFonts w:asciiTheme="majorHAnsi" w:eastAsiaTheme="majorEastAsia" w:hAnsiTheme="majorHAnsi" w:cstheme="majorBidi" w:ascii="Calibri" w:hAnsi="Calibri"/>
      <w:i/>
      <w:iCs/>
      <w:color w:val="5B657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procedencia y uso de herramientas del PEE</dc:title>
  <dc:subject>Transparencia sobre IA, software y activos audiovisuales; v5.2.0</dc:subject>
  <dc:creator>Mateo López Cuenca</dc:creator>
  <cp:keywords>PEE; inteligencia artificial; UCO; transparencia; procedencia</cp:keywords>
  <dc:description>Actualización audiovisual y editorial v5.2.7.</dc:description>
  <cp:lastModifiedBy>Mateo López Cuenca</cp:lastModifiedBy>
  <cp:revision>1</cp:revision>
  <dcterms:created xsi:type="dcterms:W3CDTF">2026-07-24T00:00:00Z</dcterms:created>
  <dcterms:modified xsi:type="dcterms:W3CDTF">2026-07-24T00:00:00Z</dcterms:modified>
  <cp:category>Trabajo Fin de Grado</cp:category>
  <cp:version/>
</cp:coreProperties>
</file>